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59" w:lineRule="auto"/>
        <w:ind w:left="0" w:right="3" w:firstLine="0"/>
        <w:jc w:val="center"/>
      </w:pPr>
      <w:r>
        <w:rPr>
          <w:b/>
          <w:sz w:val="22"/>
        </w:rPr>
        <w:t xml:space="preserve">Appendix </w:t>
      </w:r>
      <w:r>
        <w:rPr>
          <w:rFonts w:hint="eastAsia" w:eastAsia="宋体"/>
          <w:b/>
          <w:sz w:val="22"/>
          <w:lang w:val="en-US" w:eastAsia="zh-CN"/>
        </w:rPr>
        <w:t>J</w:t>
      </w:r>
      <w:r>
        <w:rPr>
          <w:b/>
          <w:sz w:val="22"/>
        </w:rPr>
        <w:t xml:space="preserve"> </w:t>
      </w:r>
    </w:p>
    <w:p>
      <w:pPr>
        <w:spacing w:after="0" w:line="259" w:lineRule="auto"/>
        <w:ind w:left="70" w:firstLine="0"/>
        <w:jc w:val="center"/>
      </w:pPr>
      <w:r>
        <w:rPr>
          <w:b/>
          <w:sz w:val="22"/>
        </w:rPr>
        <w:t xml:space="preserve"> </w:t>
      </w:r>
    </w:p>
    <w:p>
      <w:pPr>
        <w:spacing w:after="0" w:line="259" w:lineRule="auto"/>
        <w:ind w:left="0" w:right="10" w:firstLine="0"/>
        <w:jc w:val="center"/>
      </w:pPr>
      <w:r>
        <w:rPr>
          <w:b/>
          <w:sz w:val="22"/>
          <w:u w:val="single" w:color="000000"/>
        </w:rPr>
        <w:t>Environmental Requirements and Mitigation Plan</w:t>
      </w:r>
      <w:r>
        <w:rPr>
          <w:b/>
          <w:sz w:val="22"/>
        </w:rPr>
        <w:t xml:space="preserve"> </w:t>
      </w:r>
    </w:p>
    <w:p>
      <w:pPr>
        <w:spacing w:after="24" w:line="259" w:lineRule="auto"/>
        <w:ind w:left="0" w:firstLine="0"/>
        <w:jc w:val="left"/>
      </w:pPr>
      <w:r>
        <w:t xml:space="preserve"> </w:t>
      </w:r>
    </w:p>
    <w:p>
      <w:pPr>
        <w:pStyle w:val="2"/>
        <w:keepNext/>
        <w:keepLines/>
        <w:pageBreakBefore w:val="0"/>
        <w:widowControl/>
        <w:kinsoku/>
        <w:wordWrap/>
        <w:overflowPunct/>
        <w:topLinePunct w:val="0"/>
        <w:autoSpaceDE/>
        <w:autoSpaceDN/>
        <w:bidi w:val="0"/>
        <w:adjustRightInd/>
        <w:snapToGrid/>
        <w:spacing w:before="0" w:beforeLines="50" w:after="0" w:afterLines="50" w:line="260" w:lineRule="auto"/>
        <w:ind w:left="0" w:leftChars="0" w:firstLine="0" w:firstLineChars="0"/>
        <w:textAlignment w:val="auto"/>
      </w:pPr>
      <w:r>
        <w:t xml:space="preserve">1. Main references and specifications to be considered  </w:t>
      </w:r>
    </w:p>
    <w:p>
      <w:r>
        <w:t xml:space="preserve">The </w:t>
      </w:r>
      <w:r>
        <w:rPr>
          <w:rFonts w:hint="eastAsia" w:eastAsia="宋体"/>
          <w:lang w:val="en-US" w:eastAsia="zh-CN"/>
        </w:rPr>
        <w:t>Subc</w:t>
      </w:r>
      <w:r>
        <w:t xml:space="preserve">ontractor shall and must comply with all of the requirements and specifications detailed and listed in the following: </w:t>
      </w:r>
    </w:p>
    <w:p>
      <w:pPr>
        <w:pStyle w:val="10"/>
        <w:numPr>
          <w:ilvl w:val="0"/>
          <w:numId w:val="1"/>
        </w:numPr>
        <w:tabs>
          <w:tab w:val="center" w:pos="409"/>
          <w:tab w:val="center" w:pos="3385"/>
        </w:tabs>
        <w:ind w:firstLineChars="0"/>
        <w:jc w:val="left"/>
        <w:rPr>
          <w:rFonts w:eastAsiaTheme="minorEastAsia"/>
        </w:rPr>
      </w:pPr>
      <w:r>
        <w:rPr>
          <w:rFonts w:hint="eastAsia" w:eastAsiaTheme="minorEastAsia"/>
        </w:rPr>
        <w:t xml:space="preserve"> </w:t>
      </w:r>
      <w:r>
        <w:rPr>
          <w:rFonts w:eastAsiaTheme="minorEastAsia"/>
        </w:rPr>
        <w:t xml:space="preserve">The </w:t>
      </w:r>
      <w:r>
        <w:rPr>
          <w:rFonts w:hint="eastAsia" w:eastAsiaTheme="minorEastAsia"/>
          <w:lang w:val="en-US" w:eastAsia="zh-CN"/>
        </w:rPr>
        <w:t>Subcontract, the Main</w:t>
      </w:r>
      <w:r>
        <w:rPr>
          <w:rFonts w:eastAsiaTheme="minorEastAsia"/>
        </w:rPr>
        <w:t xml:space="preserve"> Contract</w:t>
      </w:r>
      <w:r>
        <w:rPr>
          <w:rFonts w:hint="eastAsia" w:eastAsiaTheme="minorEastAsia"/>
          <w:lang w:val="en-US" w:eastAsia="zh-CN"/>
        </w:rPr>
        <w:t xml:space="preserve"> and it</w:t>
      </w:r>
      <w:r>
        <w:rPr>
          <w:rFonts w:hint="default" w:eastAsiaTheme="minorEastAsia"/>
          <w:lang w:val="en-US" w:eastAsia="zh-CN"/>
        </w:rPr>
        <w:t>’</w:t>
      </w:r>
      <w:r>
        <w:rPr>
          <w:rFonts w:hint="eastAsia" w:eastAsiaTheme="minorEastAsia"/>
          <w:lang w:val="en-US" w:eastAsia="zh-CN"/>
        </w:rPr>
        <w:t>s attachment,</w:t>
      </w:r>
      <w:r>
        <w:rPr>
          <w:rFonts w:eastAsiaTheme="minorEastAsia"/>
        </w:rPr>
        <w:t xml:space="preserve"> including but not limited to Schedule 2 (Employer’s Requirements), Schedule 4 (Authori</w:t>
      </w:r>
      <w:r>
        <w:rPr>
          <w:rFonts w:hint="eastAsia" w:eastAsiaTheme="minorEastAsia"/>
          <w:lang w:val="en-US" w:eastAsia="zh-CN"/>
        </w:rPr>
        <w:t>z</w:t>
      </w:r>
      <w:r>
        <w:rPr>
          <w:rFonts w:eastAsiaTheme="minorEastAsia"/>
        </w:rPr>
        <w:t>ations), Schedule 18 (</w:t>
      </w:r>
      <w:r>
        <w:rPr>
          <w:rFonts w:hint="eastAsia" w:eastAsiaTheme="minorEastAsia"/>
        </w:rPr>
        <w:t>HS Specification &amp; Risk Assessment</w:t>
      </w:r>
      <w:r>
        <w:rPr>
          <w:rFonts w:eastAsiaTheme="minorEastAsia"/>
        </w:rPr>
        <w:t>), Schedule 20 (Project Company ESG Guideline)</w:t>
      </w:r>
    </w:p>
    <w:p>
      <w:pPr>
        <w:pStyle w:val="10"/>
        <w:numPr>
          <w:ilvl w:val="0"/>
          <w:numId w:val="1"/>
        </w:numPr>
        <w:tabs>
          <w:tab w:val="center" w:pos="409"/>
          <w:tab w:val="center" w:pos="3385"/>
        </w:tabs>
        <w:ind w:firstLineChars="0"/>
        <w:jc w:val="left"/>
        <w:rPr>
          <w:rFonts w:eastAsiaTheme="minorEastAsia"/>
        </w:rPr>
      </w:pPr>
      <w:r>
        <w:rPr>
          <w:rFonts w:eastAsiaTheme="minorEastAsia"/>
        </w:rPr>
        <w:t>The Environmental Authori</w:t>
      </w:r>
      <w:r>
        <w:rPr>
          <w:rFonts w:hint="eastAsia" w:eastAsiaTheme="minorEastAsia"/>
          <w:lang w:val="en-US" w:eastAsia="zh-CN"/>
        </w:rPr>
        <w:t>z</w:t>
      </w:r>
      <w:r>
        <w:rPr>
          <w:rFonts w:eastAsiaTheme="minorEastAsia"/>
        </w:rPr>
        <w:t>ations (EAs) and Environmental Management Programm</w:t>
      </w:r>
      <w:r>
        <w:rPr>
          <w:rFonts w:hint="eastAsia" w:eastAsiaTheme="minorEastAsia"/>
          <w:lang w:val="en-US" w:eastAsia="zh-CN"/>
        </w:rPr>
        <w:t>e</w:t>
      </w:r>
      <w:r>
        <w:rPr>
          <w:rFonts w:eastAsiaTheme="minorEastAsia"/>
        </w:rPr>
        <w:t xml:space="preserve"> (EMPr) listed in </w:t>
      </w:r>
      <w:r>
        <w:rPr>
          <w:rFonts w:hint="eastAsia" w:eastAsiaTheme="minorEastAsia"/>
          <w:lang w:val="en-US" w:eastAsia="zh-CN"/>
        </w:rPr>
        <w:t xml:space="preserve">Main Contract </w:t>
      </w:r>
      <w:r>
        <w:rPr>
          <w:rFonts w:eastAsiaTheme="minorEastAsia"/>
        </w:rPr>
        <w:t>Schedule 4</w:t>
      </w:r>
      <w:r>
        <w:rPr>
          <w:rFonts w:hint="eastAsia" w:eastAsiaTheme="minorEastAsia"/>
          <w:lang w:val="en-US" w:eastAsia="zh-CN"/>
        </w:rPr>
        <w:t>.</w:t>
      </w:r>
    </w:p>
    <w:p>
      <w:pPr>
        <w:pStyle w:val="10"/>
        <w:numPr>
          <w:ilvl w:val="0"/>
          <w:numId w:val="1"/>
        </w:numPr>
        <w:tabs>
          <w:tab w:val="center" w:pos="409"/>
          <w:tab w:val="center" w:pos="3385"/>
        </w:tabs>
        <w:ind w:firstLineChars="0"/>
        <w:jc w:val="left"/>
        <w:rPr>
          <w:rFonts w:hint="eastAsia" w:eastAsiaTheme="minorEastAsia"/>
          <w:highlight w:val="none"/>
        </w:rPr>
      </w:pPr>
      <w:r>
        <w:rPr>
          <w:rFonts w:eastAsiaTheme="minorEastAsia"/>
          <w:highlight w:val="none"/>
        </w:rPr>
        <w:t>South African Legal Framework (Mandatory)</w:t>
      </w:r>
    </w:p>
    <w:p>
      <w:pPr>
        <w:pStyle w:val="10"/>
        <w:numPr>
          <w:ilvl w:val="0"/>
          <w:numId w:val="2"/>
        </w:numPr>
        <w:tabs>
          <w:tab w:val="center" w:pos="409"/>
          <w:tab w:val="center" w:pos="3385"/>
        </w:tabs>
        <w:ind w:firstLineChars="0"/>
        <w:jc w:val="left"/>
        <w:rPr>
          <w:rFonts w:eastAsiaTheme="minorEastAsia"/>
          <w:highlight w:val="none"/>
        </w:rPr>
      </w:pPr>
      <w:r>
        <w:rPr>
          <w:rFonts w:eastAsiaTheme="minorEastAsia"/>
          <w:highlight w:val="none"/>
        </w:rPr>
        <w:t>National Environmental Management Act (NEMA)</w:t>
      </w:r>
    </w:p>
    <w:p>
      <w:pPr>
        <w:pStyle w:val="10"/>
        <w:numPr>
          <w:ilvl w:val="0"/>
          <w:numId w:val="2"/>
        </w:numPr>
        <w:tabs>
          <w:tab w:val="center" w:pos="409"/>
          <w:tab w:val="center" w:pos="3385"/>
        </w:tabs>
        <w:ind w:firstLineChars="0"/>
        <w:jc w:val="left"/>
        <w:rPr>
          <w:rFonts w:eastAsiaTheme="minorEastAsia"/>
          <w:highlight w:val="none"/>
        </w:rPr>
      </w:pPr>
      <w:r>
        <w:rPr>
          <w:rFonts w:eastAsiaTheme="minorEastAsia"/>
          <w:highlight w:val="none"/>
        </w:rPr>
        <w:t>Environmental Impact Assessment Regulations (2014)</w:t>
      </w:r>
    </w:p>
    <w:p>
      <w:pPr>
        <w:pStyle w:val="10"/>
        <w:numPr>
          <w:ilvl w:val="0"/>
          <w:numId w:val="2"/>
        </w:numPr>
        <w:tabs>
          <w:tab w:val="center" w:pos="409"/>
          <w:tab w:val="center" w:pos="3385"/>
        </w:tabs>
        <w:ind w:firstLineChars="0"/>
        <w:jc w:val="left"/>
        <w:rPr>
          <w:rFonts w:eastAsiaTheme="minorEastAsia"/>
          <w:highlight w:val="none"/>
        </w:rPr>
      </w:pPr>
      <w:r>
        <w:rPr>
          <w:rFonts w:eastAsiaTheme="minorEastAsia"/>
          <w:highlight w:val="none"/>
        </w:rPr>
        <w:t>National Water Act</w:t>
      </w:r>
    </w:p>
    <w:p>
      <w:pPr>
        <w:pStyle w:val="10"/>
        <w:numPr>
          <w:ilvl w:val="0"/>
          <w:numId w:val="2"/>
        </w:numPr>
        <w:tabs>
          <w:tab w:val="center" w:pos="409"/>
          <w:tab w:val="center" w:pos="3385"/>
        </w:tabs>
        <w:ind w:firstLineChars="0"/>
        <w:jc w:val="left"/>
        <w:rPr>
          <w:rFonts w:eastAsiaTheme="minorEastAsia"/>
          <w:highlight w:val="none"/>
        </w:rPr>
      </w:pPr>
      <w:r>
        <w:rPr>
          <w:rFonts w:eastAsiaTheme="minorEastAsia"/>
          <w:highlight w:val="none"/>
        </w:rPr>
        <w:t>National Environmental Management: Waste Act</w:t>
      </w:r>
    </w:p>
    <w:p>
      <w:pPr>
        <w:pStyle w:val="10"/>
        <w:numPr>
          <w:ilvl w:val="0"/>
          <w:numId w:val="2"/>
        </w:numPr>
        <w:tabs>
          <w:tab w:val="center" w:pos="409"/>
          <w:tab w:val="center" w:pos="3385"/>
        </w:tabs>
        <w:ind w:firstLineChars="0"/>
        <w:jc w:val="left"/>
        <w:rPr>
          <w:rFonts w:eastAsiaTheme="minorEastAsia"/>
          <w:highlight w:val="none"/>
        </w:rPr>
      </w:pPr>
      <w:r>
        <w:rPr>
          <w:rFonts w:eastAsiaTheme="minorEastAsia"/>
          <w:highlight w:val="none"/>
        </w:rPr>
        <w:t>Air Quality Act</w:t>
      </w:r>
    </w:p>
    <w:p>
      <w:pPr>
        <w:pStyle w:val="10"/>
        <w:numPr>
          <w:ilvl w:val="0"/>
          <w:numId w:val="2"/>
        </w:numPr>
        <w:tabs>
          <w:tab w:val="center" w:pos="409"/>
          <w:tab w:val="center" w:pos="3385"/>
        </w:tabs>
        <w:ind w:firstLineChars="0"/>
        <w:jc w:val="left"/>
        <w:rPr>
          <w:rFonts w:eastAsiaTheme="minorEastAsia"/>
          <w:highlight w:val="none"/>
        </w:rPr>
      </w:pPr>
      <w:r>
        <w:rPr>
          <w:rFonts w:eastAsiaTheme="minorEastAsia"/>
          <w:highlight w:val="none"/>
        </w:rPr>
        <w:t>Occupational Health and Safety Act (OHSA)</w:t>
      </w:r>
      <w:bookmarkStart w:id="0" w:name="_GoBack"/>
      <w:bookmarkEnd w:id="0"/>
    </w:p>
    <w:p>
      <w:pPr>
        <w:pStyle w:val="10"/>
        <w:numPr>
          <w:ilvl w:val="0"/>
          <w:numId w:val="2"/>
        </w:numPr>
        <w:tabs>
          <w:tab w:val="center" w:pos="409"/>
          <w:tab w:val="center" w:pos="3385"/>
        </w:tabs>
        <w:ind w:firstLineChars="0"/>
        <w:jc w:val="left"/>
        <w:rPr>
          <w:rFonts w:eastAsiaTheme="minorEastAsia"/>
          <w:highlight w:val="none"/>
        </w:rPr>
      </w:pPr>
      <w:r>
        <w:rPr>
          <w:rFonts w:eastAsiaTheme="minorEastAsia"/>
          <w:highlight w:val="none"/>
        </w:rPr>
        <w:t>Construction Regulations (2014)</w:t>
      </w:r>
    </w:p>
    <w:p>
      <w:pPr>
        <w:tabs>
          <w:tab w:val="center" w:pos="409"/>
          <w:tab w:val="center" w:pos="3385"/>
        </w:tabs>
        <w:ind w:left="0" w:firstLine="0"/>
        <w:jc w:val="left"/>
        <w:rPr>
          <w:rFonts w:eastAsiaTheme="minorEastAsia"/>
        </w:rPr>
      </w:pPr>
      <w:r>
        <w:rPr>
          <w:rFonts w:eastAsiaTheme="minorEastAsia"/>
        </w:rPr>
        <w:t>(2) Contractual Requirements</w:t>
      </w:r>
    </w:p>
    <w:p>
      <w:pPr>
        <w:pStyle w:val="10"/>
        <w:numPr>
          <w:ilvl w:val="0"/>
          <w:numId w:val="3"/>
        </w:numPr>
        <w:tabs>
          <w:tab w:val="center" w:pos="409"/>
          <w:tab w:val="center" w:pos="3385"/>
        </w:tabs>
        <w:ind w:firstLineChars="0"/>
        <w:jc w:val="left"/>
        <w:rPr>
          <w:rFonts w:eastAsiaTheme="minorEastAsia"/>
        </w:rPr>
      </w:pPr>
      <w:r>
        <w:rPr>
          <w:rFonts w:eastAsiaTheme="minorEastAsia"/>
        </w:rPr>
        <w:t>EPC Contract obligations</w:t>
      </w:r>
    </w:p>
    <w:p>
      <w:pPr>
        <w:pStyle w:val="10"/>
        <w:numPr>
          <w:ilvl w:val="0"/>
          <w:numId w:val="3"/>
        </w:numPr>
        <w:tabs>
          <w:tab w:val="center" w:pos="409"/>
          <w:tab w:val="center" w:pos="3385"/>
        </w:tabs>
        <w:ind w:firstLineChars="0"/>
        <w:jc w:val="left"/>
        <w:rPr>
          <w:rFonts w:eastAsiaTheme="minorEastAsia"/>
        </w:rPr>
      </w:pPr>
      <w:r>
        <w:rPr>
          <w:rFonts w:eastAsiaTheme="minorEastAsia"/>
        </w:rPr>
        <w:t>ESIA and Environmental Authori</w:t>
      </w:r>
      <w:r>
        <w:rPr>
          <w:rFonts w:hint="eastAsia" w:eastAsiaTheme="minorEastAsia"/>
          <w:lang w:val="en-US" w:eastAsia="zh-CN"/>
        </w:rPr>
        <w:t>z</w:t>
      </w:r>
      <w:r>
        <w:rPr>
          <w:rFonts w:eastAsiaTheme="minorEastAsia"/>
        </w:rPr>
        <w:t>ations</w:t>
      </w:r>
    </w:p>
    <w:p>
      <w:pPr>
        <w:tabs>
          <w:tab w:val="center" w:pos="409"/>
          <w:tab w:val="center" w:pos="3385"/>
        </w:tabs>
        <w:ind w:left="0" w:firstLine="0"/>
        <w:jc w:val="left"/>
        <w:rPr>
          <w:rFonts w:eastAsiaTheme="minorEastAsia"/>
        </w:rPr>
      </w:pPr>
      <w:r>
        <w:rPr>
          <w:rFonts w:eastAsiaTheme="minorEastAsia"/>
        </w:rPr>
        <w:t>(3) International Standards</w:t>
      </w:r>
    </w:p>
    <w:p>
      <w:pPr>
        <w:pStyle w:val="10"/>
        <w:numPr>
          <w:ilvl w:val="0"/>
          <w:numId w:val="4"/>
        </w:numPr>
        <w:tabs>
          <w:tab w:val="center" w:pos="409"/>
          <w:tab w:val="center" w:pos="3385"/>
        </w:tabs>
        <w:ind w:firstLineChars="0"/>
        <w:jc w:val="left"/>
        <w:rPr>
          <w:rFonts w:eastAsiaTheme="minorEastAsia"/>
        </w:rPr>
      </w:pPr>
      <w:r>
        <w:rPr>
          <w:rFonts w:eastAsiaTheme="minorEastAsia"/>
        </w:rPr>
        <w:t>IFC Performance Standards (2012)</w:t>
      </w:r>
    </w:p>
    <w:p>
      <w:pPr>
        <w:pStyle w:val="10"/>
        <w:numPr>
          <w:ilvl w:val="0"/>
          <w:numId w:val="4"/>
        </w:numPr>
        <w:tabs>
          <w:tab w:val="center" w:pos="409"/>
          <w:tab w:val="center" w:pos="3385"/>
        </w:tabs>
        <w:ind w:firstLineChars="0"/>
        <w:jc w:val="left"/>
        <w:rPr>
          <w:rFonts w:eastAsiaTheme="minorEastAsia"/>
        </w:rPr>
      </w:pPr>
      <w:r>
        <w:rPr>
          <w:rFonts w:eastAsiaTheme="minorEastAsia"/>
        </w:rPr>
        <w:t>World Bank EHS Guidelines</w:t>
      </w:r>
    </w:p>
    <w:p>
      <w:pPr>
        <w:pStyle w:val="10"/>
        <w:numPr>
          <w:ilvl w:val="0"/>
          <w:numId w:val="4"/>
        </w:numPr>
        <w:tabs>
          <w:tab w:val="center" w:pos="409"/>
          <w:tab w:val="center" w:pos="3385"/>
        </w:tabs>
        <w:ind w:firstLineChars="0"/>
        <w:jc w:val="left"/>
        <w:rPr>
          <w:rFonts w:eastAsiaTheme="minorEastAsia"/>
        </w:rPr>
      </w:pPr>
      <w:r>
        <w:rPr>
          <w:rFonts w:eastAsiaTheme="minorEastAsia"/>
        </w:rPr>
        <w:t>Equator Principles</w:t>
      </w:r>
    </w:p>
    <w:p>
      <w:pPr>
        <w:pStyle w:val="10"/>
        <w:numPr>
          <w:ilvl w:val="0"/>
          <w:numId w:val="4"/>
        </w:numPr>
        <w:tabs>
          <w:tab w:val="center" w:pos="409"/>
          <w:tab w:val="center" w:pos="3385"/>
        </w:tabs>
        <w:ind w:firstLineChars="0"/>
        <w:jc w:val="left"/>
        <w:rPr>
          <w:rFonts w:eastAsiaTheme="minorEastAsia"/>
        </w:rPr>
      </w:pPr>
      <w:r>
        <w:rPr>
          <w:rFonts w:eastAsiaTheme="minorEastAsia"/>
        </w:rPr>
        <w:t>ISO 14001 &amp; ISO 45001</w:t>
      </w:r>
    </w:p>
    <w:p>
      <w:pPr>
        <w:pStyle w:val="2"/>
        <w:keepNext/>
        <w:keepLines/>
        <w:pageBreakBefore w:val="0"/>
        <w:widowControl/>
        <w:kinsoku/>
        <w:wordWrap/>
        <w:overflowPunct/>
        <w:topLinePunct w:val="0"/>
        <w:autoSpaceDE/>
        <w:autoSpaceDN/>
        <w:bidi w:val="0"/>
        <w:adjustRightInd/>
        <w:snapToGrid/>
        <w:spacing w:before="0" w:beforeLines="50" w:after="0" w:afterLines="50" w:line="260" w:lineRule="auto"/>
        <w:ind w:left="0" w:leftChars="0" w:firstLine="0" w:firstLineChars="0"/>
        <w:textAlignment w:val="auto"/>
      </w:pPr>
      <w:r>
        <w:t xml:space="preserve">2. Environmental and Social Management Basic Specification </w:t>
      </w:r>
    </w:p>
    <w:p>
      <w:r>
        <w:t xml:space="preserve">In addition to the previously mentioned references, the </w:t>
      </w:r>
      <w:r>
        <w:rPr>
          <w:rFonts w:hint="eastAsia" w:eastAsia="宋体"/>
          <w:lang w:val="en-US" w:eastAsia="zh-CN"/>
        </w:rPr>
        <w:t>Subc</w:t>
      </w:r>
      <w:r>
        <w:t xml:space="preserve">ontractor shall prepare and deliver to the </w:t>
      </w:r>
      <w:r>
        <w:rPr>
          <w:rFonts w:hint="eastAsia" w:eastAsia="宋体"/>
          <w:lang w:val="en-US" w:eastAsia="zh-CN"/>
        </w:rPr>
        <w:t>Contractor</w:t>
      </w:r>
      <w:r>
        <w:t xml:space="preserve"> and shall be responsible for regularly maintaining and updating the HSESMP in accordance with the following: </w:t>
      </w:r>
    </w:p>
    <w:p>
      <w:pPr>
        <w:spacing w:after="24" w:line="259" w:lineRule="auto"/>
        <w:ind w:left="0" w:firstLine="0"/>
        <w:jc w:val="left"/>
      </w:pPr>
      <w:r>
        <w:t xml:space="preserve"> </w:t>
      </w:r>
    </w:p>
    <w:p>
      <w:pPr>
        <w:numPr>
          <w:ilvl w:val="0"/>
          <w:numId w:val="5"/>
        </w:numPr>
        <w:ind w:hanging="410"/>
      </w:pPr>
      <w:r>
        <w:t xml:space="preserve">the </w:t>
      </w:r>
      <w:r>
        <w:rPr>
          <w:rFonts w:hint="eastAsia" w:eastAsia="宋体"/>
          <w:lang w:val="en-US" w:eastAsia="zh-CN"/>
        </w:rPr>
        <w:t>Subc</w:t>
      </w:r>
      <w:r>
        <w:t xml:space="preserve">ontractor's corporate risk-based HSE management system, based on Good Utility Practice, certified to the ISO 14001 and </w:t>
      </w:r>
      <w:r>
        <w:rPr>
          <w:b/>
          <w:color w:val="7030A0"/>
        </w:rPr>
        <w:t>ISO45001</w:t>
      </w:r>
      <w:r>
        <w:t xml:space="preserve"> standards, and intended to assure the Project's compliance with local legislation, permits and contractual obligations; and </w:t>
      </w:r>
    </w:p>
    <w:p>
      <w:pPr>
        <w:numPr>
          <w:ilvl w:val="0"/>
          <w:numId w:val="5"/>
        </w:numPr>
        <w:ind w:hanging="410"/>
      </w:pPr>
      <w:r>
        <w:rPr>
          <w:rFonts w:hint="eastAsia" w:asciiTheme="minorEastAsia" w:hAnsiTheme="minorEastAsia" w:eastAsiaTheme="minorEastAsia"/>
        </w:rPr>
        <w:t>t</w:t>
      </w:r>
      <w:r>
        <w:t>he HSESMP is a Project</w:t>
      </w:r>
      <w:r>
        <w:rPr>
          <w:rFonts w:hint="eastAsia" w:ascii="MS Gothic" w:hAnsi="MS Gothic" w:eastAsia="MS Gothic" w:cs="MS Gothic"/>
        </w:rPr>
        <w:t>‑</w:t>
      </w:r>
      <w:r>
        <w:t xml:space="preserve"> and Works</w:t>
      </w:r>
      <w:r>
        <w:rPr>
          <w:rFonts w:hint="eastAsia" w:ascii="MS Gothic" w:hAnsi="MS Gothic" w:eastAsia="MS Gothic" w:cs="MS Gothic"/>
        </w:rPr>
        <w:t>‑</w:t>
      </w:r>
      <w:r>
        <w:t>specific risk</w:t>
      </w:r>
      <w:r>
        <w:rPr>
          <w:rFonts w:hint="eastAsia" w:ascii="MS Gothic" w:hAnsi="MS Gothic" w:eastAsia="MS Gothic" w:cs="MS Gothic"/>
        </w:rPr>
        <w:t>‑</w:t>
      </w:r>
      <w:r>
        <w:t>based HSE and social management plan that combines and enacts the Project’s HSE management system and the Project’s obligations under the Environmental Authori</w:t>
      </w:r>
      <w:r>
        <w:rPr>
          <w:rFonts w:hint="eastAsia" w:eastAsia="宋体"/>
          <w:lang w:val="en-US" w:eastAsia="zh-CN"/>
        </w:rPr>
        <w:t>z</w:t>
      </w:r>
      <w:r>
        <w:t>ations, EMPr, ESG Guidelines, IFC Performance Standards and the Equator Principles. It shall be established and maintained from Site mobili</w:t>
      </w:r>
      <w:r>
        <w:rPr>
          <w:rFonts w:hint="eastAsia" w:eastAsia="宋体"/>
          <w:lang w:val="en-US" w:eastAsia="zh-CN"/>
        </w:rPr>
        <w:t>z</w:t>
      </w:r>
      <w:r>
        <w:t>ation until the Taking</w:t>
      </w:r>
      <w:r>
        <w:rPr>
          <w:rFonts w:hint="eastAsia" w:ascii="MS Gothic" w:hAnsi="MS Gothic" w:eastAsia="MS Gothic" w:cs="MS Gothic"/>
        </w:rPr>
        <w:t>‑</w:t>
      </w:r>
      <w:r>
        <w:t>Over Certificate is issued, and thereafter continue during the Defects Notification Period as necessary, to plan, control, manage, monitor, report on and enforce HSE and social issues.</w:t>
      </w:r>
    </w:p>
    <w:p>
      <w:pPr>
        <w:spacing w:after="1" w:line="259" w:lineRule="auto"/>
        <w:ind w:left="0" w:firstLine="0"/>
        <w:jc w:val="left"/>
      </w:pPr>
      <w:r>
        <w:t xml:space="preserve"> </w:t>
      </w:r>
    </w:p>
    <w:p>
      <w:pPr>
        <w:spacing w:after="0" w:line="259" w:lineRule="auto"/>
        <w:ind w:left="0" w:firstLine="0"/>
        <w:jc w:val="left"/>
      </w:pPr>
      <w:r>
        <w:t>The Project</w:t>
      </w:r>
      <w:r>
        <w:rPr>
          <w:rFonts w:hint="eastAsia" w:ascii="MS Gothic" w:hAnsi="MS Gothic" w:eastAsia="MS Gothic" w:cs="MS Gothic"/>
        </w:rPr>
        <w:t>‑</w:t>
      </w:r>
      <w:r>
        <w:t xml:space="preserve">specific HSESMP shall be aligned with and comply with Good International Industry Practice (GIIP) and, for the avoidance of doubt, the </w:t>
      </w:r>
      <w:r>
        <w:rPr>
          <w:rFonts w:hint="eastAsia" w:eastAsia="宋体"/>
          <w:lang w:val="en-US" w:eastAsia="zh-CN"/>
        </w:rPr>
        <w:t>Contractor</w:t>
      </w:r>
      <w:r>
        <w:t xml:space="preserve">’s benchmarks for GIIP include, but are not limited to: </w:t>
      </w:r>
    </w:p>
    <w:p>
      <w:pPr>
        <w:pStyle w:val="10"/>
        <w:numPr>
          <w:ilvl w:val="0"/>
          <w:numId w:val="6"/>
        </w:numPr>
        <w:spacing w:after="24" w:line="259" w:lineRule="auto"/>
        <w:ind w:firstLineChars="0"/>
        <w:jc w:val="left"/>
        <w:rPr>
          <w:rFonts w:eastAsiaTheme="minorEastAsia"/>
        </w:rPr>
      </w:pPr>
      <w:r>
        <w:rPr>
          <w:rFonts w:eastAsiaTheme="minorEastAsia"/>
        </w:rPr>
        <w:t>IFC Performance Standards.</w:t>
      </w:r>
    </w:p>
    <w:p>
      <w:pPr>
        <w:pStyle w:val="10"/>
        <w:numPr>
          <w:ilvl w:val="0"/>
          <w:numId w:val="6"/>
        </w:numPr>
        <w:spacing w:after="24" w:line="259" w:lineRule="auto"/>
        <w:ind w:firstLineChars="0"/>
        <w:jc w:val="left"/>
        <w:rPr>
          <w:rFonts w:eastAsiaTheme="minorEastAsia"/>
        </w:rPr>
      </w:pPr>
      <w:r>
        <w:rPr>
          <w:rFonts w:eastAsiaTheme="minorEastAsia"/>
        </w:rPr>
        <w:t>World Bank Group EHS Guidelines</w:t>
      </w:r>
      <w:r>
        <w:rPr>
          <w:rFonts w:hint="eastAsia" w:eastAsiaTheme="minorEastAsia"/>
        </w:rPr>
        <w:t>.</w:t>
      </w:r>
    </w:p>
    <w:p>
      <w:pPr>
        <w:pStyle w:val="10"/>
        <w:numPr>
          <w:ilvl w:val="0"/>
          <w:numId w:val="6"/>
        </w:numPr>
        <w:spacing w:after="24" w:line="259" w:lineRule="auto"/>
        <w:ind w:firstLineChars="0"/>
        <w:jc w:val="left"/>
        <w:rPr>
          <w:rFonts w:eastAsiaTheme="minorEastAsia"/>
        </w:rPr>
      </w:pPr>
      <w:r>
        <w:rPr>
          <w:rFonts w:eastAsiaTheme="minorEastAsia"/>
        </w:rPr>
        <w:t>Equator Principles (July 2020)</w:t>
      </w:r>
      <w:r>
        <w:rPr>
          <w:rFonts w:hint="eastAsia" w:eastAsiaTheme="minorEastAsia"/>
        </w:rPr>
        <w:t>.</w:t>
      </w:r>
    </w:p>
    <w:p>
      <w:pPr>
        <w:pStyle w:val="10"/>
        <w:numPr>
          <w:ilvl w:val="0"/>
          <w:numId w:val="6"/>
        </w:numPr>
        <w:spacing w:after="24" w:line="259" w:lineRule="auto"/>
        <w:ind w:firstLineChars="0"/>
        <w:jc w:val="left"/>
        <w:rPr>
          <w:rFonts w:eastAsiaTheme="minorEastAsia"/>
        </w:rPr>
      </w:pPr>
      <w:r>
        <w:rPr>
          <w:rFonts w:eastAsiaTheme="minorEastAsia"/>
        </w:rPr>
        <w:t>South African Construction Regulations, 2014 (GNR. 84 of 7 February 2014)</w:t>
      </w:r>
      <w:r>
        <w:rPr>
          <w:rFonts w:hint="eastAsia" w:eastAsiaTheme="minorEastAsia"/>
        </w:rPr>
        <w:t>.</w:t>
      </w:r>
    </w:p>
    <w:p>
      <w:pPr>
        <w:pStyle w:val="10"/>
        <w:numPr>
          <w:ilvl w:val="0"/>
          <w:numId w:val="6"/>
        </w:numPr>
        <w:spacing w:after="24" w:line="259" w:lineRule="auto"/>
        <w:ind w:firstLineChars="0"/>
        <w:jc w:val="left"/>
        <w:rPr>
          <w:rFonts w:eastAsiaTheme="minorEastAsia"/>
        </w:rPr>
      </w:pPr>
      <w:r>
        <w:rPr>
          <w:rFonts w:eastAsiaTheme="minorEastAsia"/>
        </w:rPr>
        <w:t>Relevant SANS codes and industry best practice for solar PV construction</w:t>
      </w:r>
      <w:r>
        <w:rPr>
          <w:rFonts w:hint="eastAsia" w:eastAsiaTheme="minorEastAsia"/>
        </w:rPr>
        <w:t>.</w:t>
      </w:r>
    </w:p>
    <w:p>
      <w:pPr>
        <w:spacing w:after="0" w:line="259" w:lineRule="auto"/>
        <w:ind w:left="0" w:firstLine="0"/>
        <w:jc w:val="left"/>
      </w:pPr>
      <w:r>
        <w:t>The Project’s HSESMP shall cover and address HSE and environmental management and performance issues as applicable to the technology and processes for project execution. The minimum required contents are specified in the Employer’s Requirements and Schedule 20 (</w:t>
      </w:r>
      <w:r>
        <w:rPr>
          <w:rFonts w:hint="eastAsia" w:eastAsia="宋体"/>
          <w:lang w:val="en-US" w:eastAsia="zh-CN"/>
        </w:rPr>
        <w:t xml:space="preserve">Project Company </w:t>
      </w:r>
      <w:r>
        <w:t>ESG Guideline).</w:t>
      </w:r>
    </w:p>
    <w:p>
      <w:pPr>
        <w:spacing w:after="24" w:line="259" w:lineRule="auto"/>
        <w:ind w:left="0" w:firstLine="0"/>
        <w:jc w:val="left"/>
      </w:pPr>
      <w:r>
        <w:t xml:space="preserve">If any specific need is identified during project execution, additional management plans (e.g., Waste Management Plan, Water Management Plan, Biodiversity Management Plan, Community Grievance Mechanism) shall be developed as required. </w:t>
      </w:r>
    </w:p>
    <w:p>
      <w:pPr>
        <w:pStyle w:val="2"/>
        <w:keepNext/>
        <w:keepLines/>
        <w:pageBreakBefore w:val="0"/>
        <w:widowControl/>
        <w:kinsoku/>
        <w:wordWrap/>
        <w:overflowPunct/>
        <w:topLinePunct w:val="0"/>
        <w:autoSpaceDE/>
        <w:autoSpaceDN/>
        <w:bidi w:val="0"/>
        <w:adjustRightInd/>
        <w:snapToGrid/>
        <w:spacing w:before="0" w:beforeLines="50" w:after="0" w:afterLines="50" w:line="260" w:lineRule="auto"/>
        <w:ind w:left="0" w:leftChars="0" w:firstLine="0" w:firstLineChars="0"/>
        <w:textAlignment w:val="auto"/>
      </w:pPr>
      <w:r>
        <w:t xml:space="preserve">3. Basic requirements for Subcontractor’s Environmental Management Personnel </w:t>
      </w:r>
    </w:p>
    <w:p>
      <w:r>
        <w:t xml:space="preserve">The </w:t>
      </w:r>
      <w:r>
        <w:rPr>
          <w:rFonts w:hint="eastAsia" w:eastAsia="宋体"/>
          <w:lang w:val="en-US" w:eastAsia="zh-CN"/>
        </w:rPr>
        <w:t>Subc</w:t>
      </w:r>
      <w:r>
        <w:t xml:space="preserve">ontractor shall, prior to the commencement of the Works at the Site mobilize sufficient and adequate resources and implement the Project’s risk based HSE management system and plan.  </w:t>
      </w:r>
    </w:p>
    <w:p>
      <w:pPr>
        <w:spacing w:after="0" w:line="259" w:lineRule="auto"/>
        <w:ind w:left="0" w:firstLine="0"/>
        <w:jc w:val="left"/>
      </w:pPr>
      <w:r>
        <w:t xml:space="preserve"> </w:t>
      </w:r>
    </w:p>
    <w:p>
      <w:pPr>
        <w:spacing w:after="1" w:line="259" w:lineRule="auto"/>
        <w:ind w:left="-5" w:right="-10"/>
      </w:pPr>
      <w:r>
        <w:t xml:space="preserve">The </w:t>
      </w:r>
      <w:r>
        <w:rPr>
          <w:rFonts w:hint="eastAsia" w:eastAsia="宋体"/>
          <w:lang w:val="en-US" w:eastAsia="zh-CN"/>
        </w:rPr>
        <w:t>Subc</w:t>
      </w:r>
      <w:r>
        <w:t xml:space="preserve">ontractor's on-site staff shall include environmental management personnel, who shall be appropriately qualified as detailed in the table below: “Competence requirements for EPC Environmental Management Personnel”. Deviations from the below minimum requirements are by exception and with the </w:t>
      </w:r>
      <w:r>
        <w:rPr>
          <w:rFonts w:hint="eastAsia" w:eastAsia="宋体"/>
          <w:lang w:val="en-US" w:eastAsia="zh-CN"/>
        </w:rPr>
        <w:t>Contractor</w:t>
      </w:r>
      <w:r>
        <w:t xml:space="preserve">’s prior written approval. The number of personnel assigned to these tasks shall be appropriate to the extent, complexity and regulatory context in which the project is being developed. </w:t>
      </w:r>
    </w:p>
    <w:p>
      <w:pPr>
        <w:spacing w:after="1" w:line="259" w:lineRule="auto"/>
        <w:ind w:left="0" w:firstLine="0"/>
        <w:jc w:val="left"/>
      </w:pPr>
      <w:r>
        <w:t xml:space="preserve"> </w:t>
      </w:r>
    </w:p>
    <w:p>
      <w:r>
        <w:t xml:space="preserve">All Subcontractor’s HSE and Environmental Management personnel shall be interviewed, assessed and approved by the </w:t>
      </w:r>
      <w:r>
        <w:rPr>
          <w:rFonts w:hint="eastAsia" w:eastAsia="宋体"/>
          <w:lang w:val="en-US" w:eastAsia="zh-CN"/>
        </w:rPr>
        <w:t xml:space="preserve">Contractor and the </w:t>
      </w:r>
      <w:r>
        <w:t xml:space="preserve">Owner before being hired for the Project. </w:t>
      </w:r>
    </w:p>
    <w:p>
      <w:pPr>
        <w:spacing w:after="1" w:line="259" w:lineRule="auto"/>
        <w:ind w:left="0" w:firstLine="0"/>
        <w:jc w:val="left"/>
      </w:pPr>
      <w:r>
        <w:t xml:space="preserve"> </w:t>
      </w:r>
    </w:p>
    <w:p>
      <w:r>
        <w:t>The</w:t>
      </w:r>
      <w:r>
        <w:rPr>
          <w:rFonts w:hint="eastAsia" w:eastAsia="宋体"/>
          <w:lang w:val="en-US" w:eastAsia="zh-CN"/>
        </w:rPr>
        <w:t xml:space="preserve"> Subc</w:t>
      </w:r>
      <w:r>
        <w:t xml:space="preserve">ontractor shall, and shall procure that its agents, representatives, </w:t>
      </w:r>
      <w:r>
        <w:rPr>
          <w:rFonts w:hint="eastAsia" w:eastAsia="宋体"/>
          <w:lang w:val="en-US" w:eastAsia="zh-CN"/>
        </w:rPr>
        <w:t>Sub-subc</w:t>
      </w:r>
      <w:r>
        <w:t xml:space="preserve">ontractors of any tier in each case involved in the Project shall, comply with, and carry out the Project in accordance with, all applicable Environmental, Health and Safety Laws. Please see the following table for reference: </w:t>
      </w:r>
    </w:p>
    <w:p>
      <w:pPr>
        <w:spacing w:after="0" w:line="259" w:lineRule="auto"/>
        <w:ind w:left="0" w:firstLine="0"/>
        <w:jc w:val="left"/>
      </w:pPr>
      <w:r>
        <w:t xml:space="preserve"> </w:t>
      </w:r>
    </w:p>
    <w:tbl>
      <w:tblPr>
        <w:tblStyle w:val="8"/>
        <w:tblW w:w="9784" w:type="dxa"/>
        <w:tblInd w:w="142" w:type="dxa"/>
        <w:tblLayout w:type="autofit"/>
        <w:tblCellMar>
          <w:top w:w="52" w:type="dxa"/>
          <w:left w:w="0" w:type="dxa"/>
          <w:bottom w:w="0" w:type="dxa"/>
          <w:right w:w="0" w:type="dxa"/>
        </w:tblCellMar>
      </w:tblPr>
      <w:tblGrid>
        <w:gridCol w:w="1526"/>
        <w:gridCol w:w="1676"/>
        <w:gridCol w:w="1574"/>
        <w:gridCol w:w="1884"/>
        <w:gridCol w:w="1630"/>
        <w:gridCol w:w="1494"/>
      </w:tblGrid>
      <w:tr>
        <w:tblPrEx>
          <w:tblCellMar>
            <w:top w:w="52" w:type="dxa"/>
            <w:left w:w="0" w:type="dxa"/>
            <w:bottom w:w="0" w:type="dxa"/>
            <w:right w:w="0" w:type="dxa"/>
          </w:tblCellMar>
        </w:tblPrEx>
        <w:trPr>
          <w:trHeight w:val="458" w:hRule="atLeast"/>
        </w:trPr>
        <w:tc>
          <w:tcPr>
            <w:tcW w:w="1526" w:type="dxa"/>
            <w:tcBorders>
              <w:top w:val="single" w:color="000000" w:sz="8" w:space="0"/>
              <w:left w:val="single" w:color="000000" w:sz="8" w:space="0"/>
              <w:bottom w:val="single" w:color="000000" w:sz="8" w:space="0"/>
              <w:right w:val="single" w:color="000000" w:sz="8" w:space="0"/>
            </w:tcBorders>
          </w:tcPr>
          <w:p>
            <w:pPr>
              <w:spacing w:after="0" w:line="259" w:lineRule="auto"/>
              <w:ind w:left="108" w:firstLine="0"/>
              <w:jc w:val="left"/>
            </w:pPr>
            <w:r>
              <w:t xml:space="preserve">Position </w:t>
            </w:r>
          </w:p>
        </w:tc>
        <w:tc>
          <w:tcPr>
            <w:tcW w:w="1676" w:type="dxa"/>
            <w:tcBorders>
              <w:top w:val="single" w:color="000000" w:sz="8" w:space="0"/>
              <w:left w:val="single" w:color="000000" w:sz="8" w:space="0"/>
              <w:bottom w:val="single" w:color="000000" w:sz="8" w:space="0"/>
              <w:right w:val="single" w:color="000000" w:sz="8" w:space="0"/>
            </w:tcBorders>
          </w:tcPr>
          <w:p>
            <w:pPr>
              <w:spacing w:after="0" w:line="259" w:lineRule="auto"/>
              <w:ind w:left="108" w:firstLine="0"/>
              <w:jc w:val="left"/>
            </w:pPr>
            <w:r>
              <w:t xml:space="preserve">Qualification </w:t>
            </w:r>
          </w:p>
        </w:tc>
        <w:tc>
          <w:tcPr>
            <w:tcW w:w="1574" w:type="dxa"/>
            <w:tcBorders>
              <w:top w:val="single" w:color="000000" w:sz="8" w:space="0"/>
              <w:left w:val="single" w:color="000000" w:sz="8" w:space="0"/>
              <w:bottom w:val="single" w:color="000000" w:sz="8" w:space="0"/>
              <w:right w:val="single" w:color="000000" w:sz="8" w:space="0"/>
            </w:tcBorders>
          </w:tcPr>
          <w:p>
            <w:pPr>
              <w:spacing w:after="0" w:line="259" w:lineRule="auto"/>
              <w:ind w:left="108" w:firstLine="0"/>
              <w:jc w:val="left"/>
            </w:pPr>
            <w:r>
              <w:t xml:space="preserve">Professional  </w:t>
            </w:r>
          </w:p>
          <w:p>
            <w:pPr>
              <w:spacing w:after="0" w:line="259" w:lineRule="auto"/>
              <w:ind w:left="108" w:firstLine="0"/>
              <w:jc w:val="left"/>
            </w:pPr>
            <w:r>
              <w:t xml:space="preserve">Accreditation  </w:t>
            </w:r>
          </w:p>
        </w:tc>
        <w:tc>
          <w:tcPr>
            <w:tcW w:w="1884" w:type="dxa"/>
            <w:tcBorders>
              <w:top w:val="single" w:color="000000" w:sz="8" w:space="0"/>
              <w:left w:val="single" w:color="000000" w:sz="8" w:space="0"/>
              <w:bottom w:val="single" w:color="000000" w:sz="8" w:space="0"/>
              <w:right w:val="single" w:color="000000" w:sz="8" w:space="0"/>
            </w:tcBorders>
          </w:tcPr>
          <w:p>
            <w:pPr>
              <w:spacing w:after="0" w:line="259" w:lineRule="auto"/>
              <w:ind w:left="108" w:firstLine="0"/>
              <w:jc w:val="left"/>
            </w:pPr>
            <w:r>
              <w:t xml:space="preserve">HSE Experience </w:t>
            </w:r>
          </w:p>
        </w:tc>
        <w:tc>
          <w:tcPr>
            <w:tcW w:w="1630" w:type="dxa"/>
            <w:tcBorders>
              <w:top w:val="single" w:color="000000" w:sz="8" w:space="0"/>
              <w:left w:val="single" w:color="000000" w:sz="8" w:space="0"/>
              <w:bottom w:val="single" w:color="000000" w:sz="8" w:space="0"/>
              <w:right w:val="single" w:color="000000" w:sz="8" w:space="0"/>
            </w:tcBorders>
          </w:tcPr>
          <w:p>
            <w:pPr>
              <w:spacing w:after="0" w:line="259" w:lineRule="auto"/>
              <w:ind w:left="0" w:firstLine="0"/>
              <w:jc w:val="left"/>
            </w:pPr>
            <w:r>
              <w:t xml:space="preserve">English Fluency  </w:t>
            </w:r>
          </w:p>
        </w:tc>
        <w:tc>
          <w:tcPr>
            <w:tcW w:w="1493" w:type="dxa"/>
            <w:tcBorders>
              <w:top w:val="single" w:color="000000" w:sz="8" w:space="0"/>
              <w:left w:val="single" w:color="000000" w:sz="8" w:space="0"/>
              <w:bottom w:val="single" w:color="000000" w:sz="8" w:space="0"/>
              <w:right w:val="single" w:color="000000" w:sz="8" w:space="0"/>
            </w:tcBorders>
          </w:tcPr>
          <w:p>
            <w:pPr>
              <w:spacing w:after="0" w:line="259" w:lineRule="auto"/>
              <w:ind w:left="108" w:firstLine="0"/>
              <w:jc w:val="left"/>
            </w:pPr>
            <w:r>
              <w:rPr>
                <w:rFonts w:hint="eastAsia" w:eastAsia="宋体"/>
                <w:lang w:val="en-US" w:eastAsia="zh-CN"/>
              </w:rPr>
              <w:t xml:space="preserve">Contractor and </w:t>
            </w:r>
            <w:r>
              <w:t xml:space="preserve">Owner </w:t>
            </w:r>
          </w:p>
          <w:p>
            <w:pPr>
              <w:spacing w:after="0" w:line="259" w:lineRule="auto"/>
              <w:ind w:left="108" w:firstLine="0"/>
              <w:jc w:val="left"/>
            </w:pPr>
            <w:r>
              <w:t xml:space="preserve">Approval </w:t>
            </w:r>
          </w:p>
        </w:tc>
      </w:tr>
      <w:tr>
        <w:trPr>
          <w:trHeight w:val="1772" w:hRule="atLeast"/>
        </w:trPr>
        <w:tc>
          <w:tcPr>
            <w:tcW w:w="1526" w:type="dxa"/>
            <w:tcBorders>
              <w:top w:val="single" w:color="000000" w:sz="8" w:space="0"/>
              <w:left w:val="single" w:color="000000" w:sz="8" w:space="0"/>
              <w:bottom w:val="single" w:color="000000" w:sz="8" w:space="0"/>
              <w:right w:val="single" w:color="000000" w:sz="8" w:space="0"/>
            </w:tcBorders>
          </w:tcPr>
          <w:p>
            <w:pPr>
              <w:spacing w:after="0" w:line="259" w:lineRule="auto"/>
              <w:ind w:left="108" w:firstLine="0"/>
              <w:jc w:val="left"/>
            </w:pPr>
            <w:r>
              <w:t xml:space="preserve">Environmental  Engineer </w:t>
            </w:r>
          </w:p>
        </w:tc>
        <w:tc>
          <w:tcPr>
            <w:tcW w:w="1676" w:type="dxa"/>
            <w:tcBorders>
              <w:top w:val="single" w:color="000000" w:sz="8" w:space="0"/>
              <w:left w:val="single" w:color="000000" w:sz="8" w:space="0"/>
              <w:bottom w:val="single" w:color="000000" w:sz="8" w:space="0"/>
              <w:right w:val="single" w:color="000000" w:sz="8" w:space="0"/>
            </w:tcBorders>
          </w:tcPr>
          <w:p>
            <w:pPr>
              <w:spacing w:after="0" w:line="259" w:lineRule="auto"/>
              <w:ind w:left="108" w:firstLine="0"/>
              <w:jc w:val="left"/>
            </w:pPr>
            <w:r>
              <w:t xml:space="preserve">Bachelor’s degree in Environmental management </w:t>
            </w:r>
          </w:p>
        </w:tc>
        <w:tc>
          <w:tcPr>
            <w:tcW w:w="1574" w:type="dxa"/>
            <w:tcBorders>
              <w:top w:val="single" w:color="000000" w:sz="8" w:space="0"/>
              <w:left w:val="single" w:color="000000" w:sz="8" w:space="0"/>
              <w:bottom w:val="single" w:color="000000" w:sz="8" w:space="0"/>
              <w:right w:val="single" w:color="000000" w:sz="8" w:space="0"/>
            </w:tcBorders>
          </w:tcPr>
          <w:p>
            <w:pPr>
              <w:spacing w:after="0" w:line="259" w:lineRule="auto"/>
              <w:ind w:left="108" w:firstLine="0"/>
              <w:jc w:val="left"/>
            </w:pPr>
            <w:r>
              <w:t xml:space="preserve">Full </w:t>
            </w:r>
          </w:p>
          <w:p>
            <w:pPr>
              <w:spacing w:after="0" w:line="259" w:lineRule="auto"/>
              <w:ind w:left="108" w:firstLine="0"/>
              <w:jc w:val="left"/>
              <w:rPr>
                <w:rFonts w:eastAsiaTheme="minorEastAsia"/>
              </w:rPr>
            </w:pPr>
            <w:r>
              <w:t xml:space="preserve">Membership of professional organization/ institute </w:t>
            </w:r>
          </w:p>
          <w:p>
            <w:pPr>
              <w:spacing w:after="0" w:line="259" w:lineRule="auto"/>
              <w:ind w:left="108" w:firstLine="0"/>
              <w:jc w:val="left"/>
              <w:rPr>
                <w:rFonts w:hint="eastAsia" w:eastAsiaTheme="minorEastAsia"/>
              </w:rPr>
            </w:pPr>
            <w:r>
              <w:rPr>
                <w:rFonts w:eastAsiaTheme="minorEastAsia"/>
              </w:rPr>
              <w:t>SACPCMP registration preferred; IEMA or equivalent</w:t>
            </w:r>
          </w:p>
        </w:tc>
        <w:tc>
          <w:tcPr>
            <w:tcW w:w="1884" w:type="dxa"/>
            <w:tcBorders>
              <w:top w:val="single" w:color="000000" w:sz="8" w:space="0"/>
              <w:left w:val="single" w:color="000000" w:sz="8" w:space="0"/>
              <w:bottom w:val="single" w:color="000000" w:sz="8" w:space="0"/>
              <w:right w:val="single" w:color="000000" w:sz="8" w:space="0"/>
            </w:tcBorders>
          </w:tcPr>
          <w:p>
            <w:pPr>
              <w:spacing w:after="0" w:line="259" w:lineRule="auto"/>
              <w:ind w:left="108" w:right="53" w:firstLine="0"/>
              <w:jc w:val="left"/>
            </w:pPr>
            <w:r>
              <w:t xml:space="preserve">&gt;10 years in power/ renewable industry and construction sector(s) as an environmental professional </w:t>
            </w:r>
          </w:p>
        </w:tc>
        <w:tc>
          <w:tcPr>
            <w:tcW w:w="1630" w:type="dxa"/>
            <w:tcBorders>
              <w:top w:val="single" w:color="000000" w:sz="8" w:space="0"/>
              <w:left w:val="single" w:color="000000" w:sz="8" w:space="0"/>
              <w:bottom w:val="single" w:color="000000" w:sz="8" w:space="0"/>
              <w:right w:val="single" w:color="000000" w:sz="8" w:space="0"/>
            </w:tcBorders>
          </w:tcPr>
          <w:p>
            <w:pPr>
              <w:spacing w:after="0" w:line="259" w:lineRule="auto"/>
              <w:ind w:left="0" w:firstLine="0"/>
              <w:jc w:val="left"/>
            </w:pPr>
            <w:r>
              <w:t xml:space="preserve">CEFR – B2, </w:t>
            </w:r>
          </w:p>
          <w:p>
            <w:pPr>
              <w:spacing w:after="0" w:line="259" w:lineRule="auto"/>
              <w:ind w:left="0" w:firstLine="0"/>
              <w:jc w:val="left"/>
            </w:pPr>
            <w:r>
              <w:t xml:space="preserve">Independent </w:t>
            </w:r>
          </w:p>
          <w:p>
            <w:pPr>
              <w:spacing w:after="0" w:line="259" w:lineRule="auto"/>
              <w:ind w:left="0" w:firstLine="0"/>
              <w:jc w:val="left"/>
            </w:pPr>
            <w:r>
              <w:t xml:space="preserve">User,  </w:t>
            </w:r>
          </w:p>
          <w:p>
            <w:pPr>
              <w:spacing w:after="0" w:line="259" w:lineRule="auto"/>
              <w:ind w:left="0" w:firstLine="0"/>
              <w:jc w:val="left"/>
            </w:pPr>
            <w:r>
              <w:t xml:space="preserve">Upper </w:t>
            </w:r>
          </w:p>
          <w:p>
            <w:pPr>
              <w:spacing w:after="0" w:line="259" w:lineRule="auto"/>
              <w:ind w:left="0" w:firstLine="0"/>
              <w:jc w:val="left"/>
            </w:pPr>
            <w:r>
              <w:t xml:space="preserve">Intermediate  </w:t>
            </w:r>
          </w:p>
        </w:tc>
        <w:tc>
          <w:tcPr>
            <w:tcW w:w="1493" w:type="dxa"/>
            <w:tcBorders>
              <w:top w:val="single" w:color="000000" w:sz="8" w:space="0"/>
              <w:left w:val="single" w:color="000000" w:sz="8" w:space="0"/>
              <w:bottom w:val="single" w:color="000000" w:sz="8" w:space="0"/>
              <w:right w:val="single" w:color="000000" w:sz="8" w:space="0"/>
            </w:tcBorders>
          </w:tcPr>
          <w:p>
            <w:pPr>
              <w:spacing w:after="0" w:line="239" w:lineRule="auto"/>
              <w:ind w:left="108" w:firstLine="0"/>
              <w:jc w:val="left"/>
            </w:pPr>
            <w:r>
              <w:t xml:space="preserve">Interview before arrival </w:t>
            </w:r>
          </w:p>
          <w:p>
            <w:pPr>
              <w:spacing w:after="0" w:line="259" w:lineRule="auto"/>
              <w:ind w:left="108" w:firstLine="0"/>
              <w:jc w:val="left"/>
            </w:pPr>
            <w:r>
              <w:t xml:space="preserve">at site and 3 month probation period </w:t>
            </w:r>
          </w:p>
        </w:tc>
      </w:tr>
    </w:tbl>
    <w:p>
      <w:pPr>
        <w:pStyle w:val="2"/>
        <w:keepNext/>
        <w:keepLines/>
        <w:pageBreakBefore w:val="0"/>
        <w:widowControl/>
        <w:kinsoku/>
        <w:wordWrap/>
        <w:overflowPunct/>
        <w:topLinePunct w:val="0"/>
        <w:autoSpaceDE/>
        <w:autoSpaceDN/>
        <w:bidi w:val="0"/>
        <w:adjustRightInd/>
        <w:snapToGrid/>
        <w:spacing w:before="0" w:beforeLines="50" w:after="0" w:afterLines="50" w:line="260" w:lineRule="auto"/>
        <w:ind w:left="0" w:leftChars="0" w:firstLine="0" w:firstLineChars="0"/>
        <w:textAlignment w:val="auto"/>
      </w:pPr>
      <w:r>
        <w:t xml:space="preserve">4. Reporting </w:t>
      </w:r>
    </w:p>
    <w:p>
      <w:r>
        <w:t xml:space="preserve">The </w:t>
      </w:r>
      <w:r>
        <w:rPr>
          <w:rFonts w:hint="eastAsia" w:eastAsia="宋体"/>
          <w:lang w:val="en-US" w:eastAsia="zh-CN"/>
        </w:rPr>
        <w:t>Subc</w:t>
      </w:r>
      <w:r>
        <w:t xml:space="preserve">ontractor shall prepare an HSE management and performance report regarding the on-going works on the Site on a monthly and quarterly basis. Each report shall be delivered to the </w:t>
      </w:r>
      <w:r>
        <w:rPr>
          <w:rFonts w:hint="eastAsia" w:eastAsia="宋体"/>
          <w:lang w:val="en-US" w:eastAsia="zh-CN"/>
        </w:rPr>
        <w:t>Contractor</w:t>
      </w:r>
      <w:r>
        <w:t xml:space="preserve"> by no later than the fifth (5th) Day of the month following the end of the relevant quarter and contain the following data as per the </w:t>
      </w:r>
      <w:r>
        <w:rPr>
          <w:rFonts w:hint="eastAsia" w:eastAsia="宋体"/>
          <w:lang w:val="en-US" w:eastAsia="zh-CN"/>
        </w:rPr>
        <w:t>Contractor</w:t>
      </w:r>
      <w:r>
        <w:t xml:space="preserve">’s HSE Monitoring and Reporting procedure. </w:t>
      </w:r>
    </w:p>
    <w:p>
      <w:pPr>
        <w:spacing w:after="0" w:line="259" w:lineRule="auto"/>
        <w:ind w:left="0" w:firstLine="0"/>
        <w:jc w:val="left"/>
        <w:rPr>
          <w:rFonts w:hint="eastAsia" w:eastAsiaTheme="minorEastAsia"/>
        </w:rPr>
      </w:pPr>
      <w:r>
        <w:drawing>
          <wp:inline distT="0" distB="0" distL="0" distR="0">
            <wp:extent cx="2904490" cy="34455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911099" cy="3453751"/>
                    </a:xfrm>
                    <a:prstGeom prst="rect">
                      <a:avLst/>
                    </a:prstGeom>
                  </pic:spPr>
                </pic:pic>
              </a:graphicData>
            </a:graphic>
          </wp:inline>
        </w:drawing>
      </w:r>
      <w:r>
        <w:t xml:space="preserve"> </w:t>
      </w:r>
      <w:r>
        <w:drawing>
          <wp:inline distT="0" distB="0" distL="0" distR="0">
            <wp:extent cx="2750820" cy="20281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762438" cy="2036896"/>
                    </a:xfrm>
                    <a:prstGeom prst="rect">
                      <a:avLst/>
                    </a:prstGeom>
                  </pic:spPr>
                </pic:pic>
              </a:graphicData>
            </a:graphic>
          </wp:inline>
        </w:drawing>
      </w:r>
    </w:p>
    <w:tbl>
      <w:tblPr>
        <w:tblStyle w:val="8"/>
        <w:tblW w:w="9437" w:type="dxa"/>
        <w:tblInd w:w="12" w:type="dxa"/>
        <w:tblLayout w:type="autofit"/>
        <w:tblCellMar>
          <w:top w:w="47" w:type="dxa"/>
          <w:left w:w="106" w:type="dxa"/>
          <w:bottom w:w="0" w:type="dxa"/>
          <w:right w:w="45" w:type="dxa"/>
        </w:tblCellMar>
      </w:tblPr>
      <w:tblGrid>
        <w:gridCol w:w="5019"/>
        <w:gridCol w:w="1181"/>
        <w:gridCol w:w="1080"/>
        <w:gridCol w:w="2157"/>
      </w:tblGrid>
      <w:tr>
        <w:tblPrEx>
          <w:tblCellMar>
            <w:top w:w="47" w:type="dxa"/>
            <w:left w:w="106" w:type="dxa"/>
            <w:bottom w:w="0" w:type="dxa"/>
            <w:right w:w="45" w:type="dxa"/>
          </w:tblCellMar>
        </w:tblPrEx>
        <w:trPr>
          <w:trHeight w:val="295" w:hRule="atLeast"/>
        </w:trPr>
        <w:tc>
          <w:tcPr>
            <w:tcW w:w="5019" w:type="dxa"/>
            <w:tcBorders>
              <w:top w:val="single" w:color="000000" w:sz="4" w:space="0"/>
              <w:left w:val="single" w:color="000000" w:sz="8" w:space="0"/>
              <w:bottom w:val="single" w:color="000000" w:sz="4" w:space="0"/>
              <w:right w:val="single" w:color="000000" w:sz="4" w:space="0"/>
            </w:tcBorders>
            <w:shd w:val="clear" w:color="auto" w:fill="1F497D"/>
          </w:tcPr>
          <w:p>
            <w:pPr>
              <w:spacing w:after="0" w:line="259" w:lineRule="auto"/>
              <w:ind w:left="0" w:firstLine="0"/>
              <w:jc w:val="left"/>
              <w:rPr>
                <w:color w:val="FFFFFF" w:themeColor="background1"/>
                <w14:textFill>
                  <w14:solidFill>
                    <w14:schemeClr w14:val="bg1"/>
                  </w14:solidFill>
                </w14:textFill>
              </w:rPr>
            </w:pPr>
            <w:r>
              <w:rPr>
                <w:color w:val="FFFFFF" w:themeColor="background1"/>
                <w14:textFill>
                  <w14:solidFill>
                    <w14:schemeClr w14:val="bg1"/>
                  </w14:solidFill>
                </w14:textFill>
              </w:rPr>
              <w:t xml:space="preserve">Environmental </w:t>
            </w:r>
          </w:p>
        </w:tc>
        <w:tc>
          <w:tcPr>
            <w:tcW w:w="1181" w:type="dxa"/>
            <w:tcBorders>
              <w:top w:val="single" w:color="000000" w:sz="4" w:space="0"/>
              <w:left w:val="single" w:color="000000" w:sz="4" w:space="0"/>
              <w:bottom w:val="single" w:color="000000" w:sz="4" w:space="0"/>
              <w:right w:val="nil"/>
            </w:tcBorders>
            <w:shd w:val="clear" w:color="auto" w:fill="1F497D"/>
          </w:tcPr>
          <w:p>
            <w:pPr>
              <w:spacing w:after="0" w:line="259" w:lineRule="auto"/>
              <w:ind w:left="3" w:firstLine="0"/>
              <w:jc w:val="left"/>
              <w:rPr>
                <w:color w:val="FFFFFF" w:themeColor="background1"/>
                <w14:textFill>
                  <w14:solidFill>
                    <w14:schemeClr w14:val="bg1"/>
                  </w14:solidFill>
                </w14:textFill>
              </w:rPr>
            </w:pPr>
            <w:r>
              <w:rPr>
                <w:color w:val="FFFFFF" w:themeColor="background1"/>
                <w14:textFill>
                  <w14:solidFill>
                    <w14:schemeClr w14:val="bg1"/>
                  </w14:solidFill>
                </w14:textFill>
              </w:rPr>
              <w:t xml:space="preserve">Monthly  </w:t>
            </w:r>
          </w:p>
        </w:tc>
        <w:tc>
          <w:tcPr>
            <w:tcW w:w="1080" w:type="dxa"/>
            <w:tcBorders>
              <w:top w:val="single" w:color="000000" w:sz="4" w:space="0"/>
              <w:left w:val="nil"/>
              <w:bottom w:val="single" w:color="000000" w:sz="4" w:space="0"/>
              <w:right w:val="nil"/>
            </w:tcBorders>
            <w:shd w:val="clear" w:color="auto" w:fill="1F497D"/>
          </w:tcPr>
          <w:p>
            <w:pPr>
              <w:spacing w:after="0" w:line="259" w:lineRule="auto"/>
              <w:ind w:left="0" w:firstLine="0"/>
              <w:jc w:val="left"/>
              <w:rPr>
                <w:color w:val="FFFFFF" w:themeColor="background1"/>
                <w14:textFill>
                  <w14:solidFill>
                    <w14:schemeClr w14:val="bg1"/>
                  </w14:solidFill>
                </w14:textFill>
              </w:rPr>
            </w:pPr>
            <w:r>
              <w:rPr>
                <w:color w:val="FFFFFF" w:themeColor="background1"/>
                <w14:textFill>
                  <w14:solidFill>
                    <w14:schemeClr w14:val="bg1"/>
                  </w14:solidFill>
                </w14:textFill>
              </w:rPr>
              <w:t xml:space="preserve">YTD </w:t>
            </w:r>
          </w:p>
        </w:tc>
        <w:tc>
          <w:tcPr>
            <w:tcW w:w="2157" w:type="dxa"/>
            <w:tcBorders>
              <w:top w:val="single" w:color="1F497D" w:sz="4" w:space="0"/>
              <w:left w:val="nil"/>
              <w:bottom w:val="single" w:color="000000" w:sz="4" w:space="0"/>
              <w:right w:val="single" w:color="000000" w:sz="8" w:space="0"/>
            </w:tcBorders>
            <w:shd w:val="clear" w:color="auto" w:fill="1F497D"/>
          </w:tcPr>
          <w:p>
            <w:pPr>
              <w:spacing w:after="0" w:line="259" w:lineRule="auto"/>
              <w:ind w:left="0" w:firstLine="0"/>
              <w:jc w:val="left"/>
              <w:rPr>
                <w:color w:val="FFFFFF" w:themeColor="background1"/>
                <w14:textFill>
                  <w14:solidFill>
                    <w14:schemeClr w14:val="bg1"/>
                  </w14:solidFill>
                </w14:textFill>
              </w:rPr>
            </w:pPr>
            <w:r>
              <w:rPr>
                <w:color w:val="FFFFFF" w:themeColor="background1"/>
                <w14:textFill>
                  <w14:solidFill>
                    <w14:schemeClr w14:val="bg1"/>
                  </w14:solidFill>
                </w14:textFill>
              </w:rPr>
              <w:t xml:space="preserve">Remarks (if Any) </w:t>
            </w:r>
          </w:p>
        </w:tc>
      </w:tr>
      <w:tr>
        <w:tblPrEx>
          <w:tblCellMar>
            <w:top w:w="47" w:type="dxa"/>
            <w:left w:w="106" w:type="dxa"/>
            <w:bottom w:w="0" w:type="dxa"/>
            <w:right w:w="45" w:type="dxa"/>
          </w:tblCellMar>
        </w:tblPrEx>
        <w:trPr>
          <w:trHeight w:val="299"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Environmental samples – number analyzed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1428" w:hRule="atLeast"/>
        </w:trPr>
        <w:tc>
          <w:tcPr>
            <w:tcW w:w="5019" w:type="dxa"/>
            <w:tcBorders>
              <w:top w:val="single" w:color="000000" w:sz="4" w:space="0"/>
              <w:left w:val="single" w:color="000000" w:sz="8" w:space="0"/>
              <w:bottom w:val="single" w:color="000000" w:sz="4" w:space="0"/>
              <w:right w:val="single" w:color="000000" w:sz="4" w:space="0"/>
            </w:tcBorders>
            <w:vAlign w:val="center"/>
          </w:tcPr>
          <w:p>
            <w:pPr>
              <w:spacing w:after="0" w:line="259" w:lineRule="auto"/>
              <w:ind w:left="0" w:firstLine="0"/>
              <w:jc w:val="left"/>
            </w:pPr>
            <w:r>
              <w:t xml:space="preserve">Environmental samples – % compliant with license  </w:t>
            </w:r>
          </w:p>
        </w:tc>
        <w:tc>
          <w:tcPr>
            <w:tcW w:w="1181" w:type="dxa"/>
            <w:tcBorders>
              <w:top w:val="single" w:color="000000" w:sz="4" w:space="0"/>
              <w:left w:val="single" w:color="000000" w:sz="4" w:space="0"/>
              <w:bottom w:val="single" w:color="000000" w:sz="4" w:space="0"/>
              <w:right w:val="single" w:color="000000" w:sz="4" w:space="0"/>
            </w:tcBorders>
            <w:vAlign w:val="center"/>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vAlign w:val="center"/>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right="60" w:firstLine="0"/>
            </w:pPr>
            <w:r>
              <w:t xml:space="preserve">Samples must be taken according to the environmental license requirements, aligned with local regulation. </w:t>
            </w:r>
          </w:p>
        </w:tc>
      </w:tr>
      <w:tr>
        <w:tblPrEx>
          <w:tblCellMar>
            <w:top w:w="47" w:type="dxa"/>
            <w:left w:w="106" w:type="dxa"/>
            <w:bottom w:w="0" w:type="dxa"/>
            <w:right w:w="45" w:type="dxa"/>
          </w:tblCellMar>
        </w:tblPrEx>
        <w:trPr>
          <w:trHeight w:val="718" w:hRule="atLeast"/>
        </w:trPr>
        <w:tc>
          <w:tcPr>
            <w:tcW w:w="5019" w:type="dxa"/>
            <w:tcBorders>
              <w:top w:val="single" w:color="000000" w:sz="4" w:space="0"/>
              <w:left w:val="single" w:color="000000" w:sz="8" w:space="0"/>
              <w:bottom w:val="single" w:color="000000" w:sz="4" w:space="0"/>
              <w:right w:val="single" w:color="000000" w:sz="4" w:space="0"/>
            </w:tcBorders>
            <w:vAlign w:val="center"/>
          </w:tcPr>
          <w:p>
            <w:pPr>
              <w:spacing w:after="0" w:line="259" w:lineRule="auto"/>
              <w:ind w:left="0" w:firstLine="0"/>
              <w:jc w:val="left"/>
            </w:pPr>
            <w:r>
              <w:t xml:space="preserve">Hazardous substance quantity of spillage (liter/kg) </w:t>
            </w:r>
          </w:p>
        </w:tc>
        <w:tc>
          <w:tcPr>
            <w:tcW w:w="1181" w:type="dxa"/>
            <w:tcBorders>
              <w:top w:val="single" w:color="000000" w:sz="4" w:space="0"/>
              <w:left w:val="single" w:color="000000" w:sz="4" w:space="0"/>
              <w:bottom w:val="single" w:color="000000" w:sz="4" w:space="0"/>
              <w:right w:val="single" w:color="000000" w:sz="4" w:space="0"/>
            </w:tcBorders>
            <w:vAlign w:val="center"/>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vAlign w:val="center"/>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Only in case of a spill according to the local regulation.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disposed - fly ash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rPr>
                <w:b/>
                <w:color w:val="FF0000"/>
              </w:rPr>
              <w:t>N/A</w:t>
            </w:r>
            <w:r>
              <w:rPr>
                <w:b/>
              </w:rP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disposed - hazardous waste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disposed - general/non-hazardous waste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HTF contaminated water (m</w:t>
            </w:r>
            <w:r>
              <w:rPr>
                <w:vertAlign w:val="superscript"/>
              </w:rPr>
              <w:t>3</w:t>
            </w:r>
            <w:r>
              <w:t xml:space="preserve">) – only CSP plants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rPr>
                <w:b/>
                <w:color w:val="FF0000"/>
              </w:rPr>
              <w:t>N/A</w:t>
            </w:r>
            <w:r>
              <w:t xml:space="preserve"> </w:t>
            </w:r>
          </w:p>
        </w:tc>
      </w:tr>
      <w:tr>
        <w:tblPrEx>
          <w:tblCellMar>
            <w:top w:w="47" w:type="dxa"/>
            <w:left w:w="106" w:type="dxa"/>
            <w:bottom w:w="0" w:type="dxa"/>
            <w:right w:w="45" w:type="dxa"/>
          </w:tblCellMar>
        </w:tblPrEx>
        <w:trPr>
          <w:trHeight w:val="540" w:hRule="atLeast"/>
        </w:trPr>
        <w:tc>
          <w:tcPr>
            <w:tcW w:w="5019" w:type="dxa"/>
            <w:tcBorders>
              <w:top w:val="single" w:color="000000" w:sz="4" w:space="0"/>
              <w:left w:val="single" w:color="000000" w:sz="8" w:space="0"/>
              <w:bottom w:val="single" w:color="000000" w:sz="4" w:space="0"/>
              <w:right w:val="single" w:color="000000" w:sz="4" w:space="0"/>
            </w:tcBorders>
          </w:tcPr>
          <w:p>
            <w:pPr>
              <w:spacing w:after="1" w:line="259" w:lineRule="auto"/>
              <w:ind w:left="0" w:firstLine="0"/>
              <w:jc w:val="left"/>
            </w:pPr>
            <w:r>
              <w:t xml:space="preserve">Waste disposed –HTF contain soil &amp; waste (kg) – only </w:t>
            </w:r>
          </w:p>
          <w:p>
            <w:pPr>
              <w:spacing w:after="0" w:line="259" w:lineRule="auto"/>
              <w:ind w:left="0" w:firstLine="0"/>
              <w:jc w:val="left"/>
            </w:pPr>
            <w:r>
              <w:t xml:space="preserve">CSP </w:t>
            </w:r>
          </w:p>
        </w:tc>
        <w:tc>
          <w:tcPr>
            <w:tcW w:w="1181" w:type="dxa"/>
            <w:tcBorders>
              <w:top w:val="single" w:color="000000" w:sz="4" w:space="0"/>
              <w:left w:val="single" w:color="000000" w:sz="4" w:space="0"/>
              <w:bottom w:val="single" w:color="000000" w:sz="4" w:space="0"/>
              <w:right w:val="single" w:color="000000" w:sz="4" w:space="0"/>
            </w:tcBorders>
            <w:vAlign w:val="center"/>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vAlign w:val="center"/>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vAlign w:val="center"/>
          </w:tcPr>
          <w:p>
            <w:pPr>
              <w:spacing w:after="0" w:line="259" w:lineRule="auto"/>
              <w:ind w:left="0" w:firstLine="0"/>
              <w:jc w:val="left"/>
            </w:pPr>
            <w:r>
              <w:rPr>
                <w:b/>
                <w:color w:val="FF0000"/>
              </w:rPr>
              <w:t>N/A</w:t>
            </w: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disposed - radioactive waste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rPr>
                <w:b/>
                <w:color w:val="FF0000"/>
              </w:rPr>
              <w:t>N/A</w:t>
            </w: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disposed - medical waste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recycled plastic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recycled glass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recycled oil &amp; grease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300"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recycled wood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recycled metal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recycled paper &amp; packaging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 xml:space="preserve">Waste recycled other (kg)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t xml:space="preserve"> </w:t>
            </w:r>
          </w:p>
        </w:tc>
      </w:tr>
      <w:tr>
        <w:tblPrEx>
          <w:tblCellMar>
            <w:top w:w="47" w:type="dxa"/>
            <w:left w:w="106" w:type="dxa"/>
            <w:bottom w:w="0" w:type="dxa"/>
            <w:right w:w="45" w:type="dxa"/>
          </w:tblCellMar>
        </w:tblPrEx>
        <w:trPr>
          <w:trHeight w:val="298" w:hRule="atLeast"/>
        </w:trPr>
        <w:tc>
          <w:tcPr>
            <w:tcW w:w="5019" w:type="dxa"/>
            <w:tcBorders>
              <w:top w:val="single" w:color="000000" w:sz="4" w:space="0"/>
              <w:left w:val="single" w:color="000000" w:sz="8" w:space="0"/>
              <w:bottom w:val="single" w:color="000000" w:sz="4" w:space="0"/>
              <w:right w:val="single" w:color="000000" w:sz="4" w:space="0"/>
            </w:tcBorders>
          </w:tcPr>
          <w:p>
            <w:pPr>
              <w:spacing w:after="0" w:line="259" w:lineRule="auto"/>
              <w:ind w:left="0" w:firstLine="0"/>
              <w:jc w:val="left"/>
            </w:pPr>
            <w:r>
              <w:t>Waste recycled HTF (m</w:t>
            </w:r>
            <w:r>
              <w:rPr>
                <w:vertAlign w:val="superscript"/>
              </w:rPr>
              <w:t>3</w:t>
            </w:r>
            <w:r>
              <w:t xml:space="preserve">) - – only CSP plants </w:t>
            </w:r>
          </w:p>
        </w:tc>
        <w:tc>
          <w:tcPr>
            <w:tcW w:w="1181" w:type="dxa"/>
            <w:tcBorders>
              <w:top w:val="single" w:color="000000" w:sz="4" w:space="0"/>
              <w:left w:val="single" w:color="000000" w:sz="4" w:space="0"/>
              <w:bottom w:val="single" w:color="000000" w:sz="4" w:space="0"/>
              <w:right w:val="single" w:color="000000" w:sz="4" w:space="0"/>
            </w:tcBorders>
          </w:tcPr>
          <w:p>
            <w:pPr>
              <w:spacing w:after="0" w:line="259" w:lineRule="auto"/>
              <w:ind w:left="3" w:firstLine="0"/>
              <w:jc w:val="left"/>
            </w:pPr>
            <w:r>
              <w:t xml:space="preserve"> </w:t>
            </w:r>
          </w:p>
        </w:tc>
        <w:tc>
          <w:tcPr>
            <w:tcW w:w="1080" w:type="dxa"/>
            <w:tcBorders>
              <w:top w:val="single" w:color="000000" w:sz="4" w:space="0"/>
              <w:left w:val="single" w:color="000000" w:sz="4" w:space="0"/>
              <w:bottom w:val="single" w:color="000000" w:sz="4" w:space="0"/>
              <w:right w:val="single" w:color="000000" w:sz="4" w:space="0"/>
            </w:tcBorders>
          </w:tcPr>
          <w:p>
            <w:pPr>
              <w:spacing w:after="0" w:line="259" w:lineRule="auto"/>
              <w:ind w:left="0" w:firstLine="0"/>
              <w:jc w:val="left"/>
            </w:pPr>
            <w:r>
              <w:t xml:space="preserve"> </w:t>
            </w:r>
          </w:p>
        </w:tc>
        <w:tc>
          <w:tcPr>
            <w:tcW w:w="2157" w:type="dxa"/>
            <w:tcBorders>
              <w:top w:val="single" w:color="000000" w:sz="4" w:space="0"/>
              <w:left w:val="single" w:color="000000" w:sz="4" w:space="0"/>
              <w:bottom w:val="single" w:color="000000" w:sz="4" w:space="0"/>
              <w:right w:val="single" w:color="000000" w:sz="8" w:space="0"/>
            </w:tcBorders>
          </w:tcPr>
          <w:p>
            <w:pPr>
              <w:spacing w:after="0" w:line="259" w:lineRule="auto"/>
              <w:ind w:left="0" w:firstLine="0"/>
              <w:jc w:val="left"/>
            </w:pPr>
            <w:r>
              <w:rPr>
                <w:b/>
                <w:color w:val="FF0000"/>
              </w:rPr>
              <w:t>N/A</w:t>
            </w:r>
            <w:r>
              <w:t xml:space="preserve"> </w:t>
            </w:r>
          </w:p>
        </w:tc>
      </w:tr>
    </w:tbl>
    <w:p>
      <w:pPr>
        <w:spacing w:after="1" w:line="259" w:lineRule="auto"/>
        <w:ind w:left="0" w:firstLine="0"/>
        <w:jc w:val="left"/>
      </w:pPr>
      <w:r>
        <w:t xml:space="preserve"> </w:t>
      </w:r>
    </w:p>
    <w:p>
      <w:r>
        <w:t xml:space="preserve">In addition to these statistics, the </w:t>
      </w:r>
      <w:r>
        <w:rPr>
          <w:rFonts w:hint="eastAsia" w:eastAsia="宋体"/>
          <w:lang w:val="en-US" w:eastAsia="zh-CN"/>
        </w:rPr>
        <w:t>Subc</w:t>
      </w:r>
      <w:r>
        <w:t xml:space="preserve">ontractor shall report the following KPI related to sustainability (as applicable to the project’s technology): </w:t>
      </w:r>
    </w:p>
    <w:p>
      <w:pPr>
        <w:spacing w:after="30" w:line="259" w:lineRule="auto"/>
        <w:ind w:left="0" w:firstLine="0"/>
        <w:jc w:val="left"/>
        <w:rPr>
          <w:rFonts w:hint="eastAsia"/>
        </w:rPr>
      </w:pPr>
      <w:r>
        <w:t>Air quality and emissions (PM₁₀, PM₂.₅, SO₂, NO₂, CO)</w:t>
      </w:r>
    </w:p>
    <w:p>
      <w:pPr>
        <w:tabs>
          <w:tab w:val="center" w:pos="409"/>
          <w:tab w:val="center" w:pos="1365"/>
        </w:tabs>
        <w:ind w:left="0" w:firstLine="0"/>
        <w:jc w:val="left"/>
      </w:pPr>
      <w:r>
        <w:t xml:space="preserve">Ambient noise </w:t>
      </w:r>
    </w:p>
    <w:p>
      <w:pPr>
        <w:tabs>
          <w:tab w:val="center" w:pos="409"/>
          <w:tab w:val="center" w:pos="4710"/>
        </w:tabs>
        <w:ind w:left="0" w:firstLine="0"/>
        <w:jc w:val="left"/>
      </w:pPr>
      <w:r>
        <w:t xml:space="preserve">Waste water discharge (pH, temperature, turbidity, dissolved oxygen, residual chlorine) </w:t>
      </w:r>
    </w:p>
    <w:p>
      <w:pPr>
        <w:spacing w:after="0" w:line="259" w:lineRule="auto"/>
        <w:ind w:left="0" w:firstLine="0"/>
        <w:jc w:val="left"/>
        <w:rPr>
          <w:rFonts w:eastAsiaTheme="minorEastAsia"/>
        </w:rPr>
      </w:pPr>
      <w:r>
        <w:rPr>
          <w:rFonts w:eastAsiaTheme="minorEastAsia"/>
        </w:rPr>
        <w:t>Water consumption (m³) from municipal, underground and surface sources</w:t>
      </w:r>
    </w:p>
    <w:p>
      <w:pPr>
        <w:spacing w:after="0" w:line="259" w:lineRule="auto"/>
        <w:ind w:left="0" w:firstLine="0"/>
        <w:jc w:val="left"/>
        <w:rPr>
          <w:rFonts w:eastAsiaTheme="minorEastAsia"/>
        </w:rPr>
      </w:pPr>
      <w:r>
        <w:rPr>
          <w:rFonts w:eastAsiaTheme="minorEastAsia"/>
        </w:rPr>
        <w:t>Energy consumption (electricity, diesel, petrol, etc.)</w:t>
      </w:r>
    </w:p>
    <w:p>
      <w:pPr>
        <w:spacing w:after="0" w:line="259" w:lineRule="auto"/>
        <w:ind w:left="0" w:firstLine="0"/>
        <w:jc w:val="left"/>
        <w:rPr>
          <w:rFonts w:eastAsiaTheme="minorEastAsia"/>
        </w:rPr>
      </w:pPr>
      <w:r>
        <w:rPr>
          <w:rFonts w:eastAsiaTheme="minorEastAsia"/>
        </w:rPr>
        <w:t>Greenhouse gas emissions (Scope 1 and 2) – CO₂</w:t>
      </w:r>
    </w:p>
    <w:p>
      <w:pPr>
        <w:spacing w:after="0" w:line="259" w:lineRule="auto"/>
        <w:ind w:left="0" w:firstLine="0"/>
        <w:jc w:val="left"/>
        <w:rPr>
          <w:rFonts w:eastAsiaTheme="minorEastAsia"/>
        </w:rPr>
      </w:pPr>
      <w:r>
        <w:rPr>
          <w:rFonts w:eastAsiaTheme="minorEastAsia"/>
        </w:rPr>
        <w:t>Community grievances received and resolved</w:t>
      </w:r>
    </w:p>
    <w:p>
      <w:pPr>
        <w:rPr>
          <w:rFonts w:hint="eastAsia"/>
          <w:color w:val="000000" w:themeColor="text1"/>
          <w14:textFill>
            <w14:solidFill>
              <w14:schemeClr w14:val="tx1"/>
            </w14:solidFill>
          </w14:textFill>
        </w:rPr>
      </w:pPr>
      <w:r>
        <w:rPr>
          <w:color w:val="000000" w:themeColor="text1"/>
          <w14:textFill>
            <w14:solidFill>
              <w14:schemeClr w14:val="tx1"/>
            </w14:solidFill>
          </w14:textFill>
        </w:rPr>
        <w:t>Local procurement spend (ZAR) and job creation numbers</w:t>
      </w:r>
      <w:r>
        <w:rPr>
          <w:rFonts w:hint="eastAsia"/>
          <w:color w:val="000000" w:themeColor="text1"/>
          <w14:textFill>
            <w14:solidFill>
              <w14:schemeClr w14:val="tx1"/>
            </w14:solidFill>
          </w14:textFill>
        </w:rPr>
        <w:t>.</w:t>
      </w:r>
    </w:p>
    <w:p>
      <w:pPr>
        <w:rPr>
          <w:b/>
          <w:bCs/>
          <w:color w:val="000000" w:themeColor="text1"/>
          <w:lang w:val="en-US" w:eastAsia="zh-CN"/>
          <w14:textFill>
            <w14:solidFill>
              <w14:schemeClr w14:val="tx1"/>
            </w14:solidFill>
          </w14:textFill>
        </w:rPr>
      </w:pPr>
      <w:r>
        <w:rPr>
          <w:b/>
          <w:bCs/>
          <w:color w:val="000000" w:themeColor="text1"/>
          <w:lang w:val="en-US" w:eastAsia="zh-CN"/>
          <w14:textFill>
            <w14:solidFill>
              <w14:schemeClr w14:val="tx1"/>
            </w14:solidFill>
          </w14:textFill>
        </w:rPr>
        <w:t xml:space="preserve">LTA environmental report during construction  </w:t>
      </w:r>
    </w:p>
    <w:p>
      <w:r>
        <w:rPr>
          <w:color w:val="000000" w:themeColor="text1"/>
          <w14:textFill>
            <w14:solidFill>
              <w14:schemeClr w14:val="tx1"/>
            </w14:solidFill>
          </w14:textFill>
        </w:rPr>
        <w:t>The Employer shall procure that the LTA, no later than 45 days after each quarter (commencing from Financial Close until Taking</w:t>
      </w:r>
      <w:r>
        <w:rPr>
          <w:rFonts w:hint="eastAsia" w:ascii="MS Gothic" w:hAnsi="MS Gothic" w:eastAsia="MS Gothic" w:cs="MS Gothic"/>
          <w:color w:val="000000" w:themeColor="text1"/>
          <w14:textFill>
            <w14:solidFill>
              <w14:schemeClr w14:val="tx1"/>
            </w14:solidFill>
          </w14:textFill>
        </w:rPr>
        <w:t>‑</w:t>
      </w:r>
      <w:r>
        <w:rPr>
          <w:color w:val="000000" w:themeColor="text1"/>
          <w14:textFill>
            <w14:solidFill>
              <w14:schemeClr w14:val="tx1"/>
            </w14:solidFill>
          </w14:textFill>
        </w:rPr>
        <w:t>Over), delivers to the Lenders a quarterly construction report verifying the Employer’s compliance with its environmental, health and safety obligations under the Finance Documents and the Contract, and detailing any material non</w:t>
      </w:r>
      <w:r>
        <w:rPr>
          <w:rFonts w:hint="eastAsia" w:ascii="MS Gothic" w:hAnsi="MS Gothic" w:eastAsia="MS Gothic" w:cs="MS Gothic"/>
          <w:color w:val="000000" w:themeColor="text1"/>
          <w14:textFill>
            <w14:solidFill>
              <w14:schemeClr w14:val="tx1"/>
            </w14:solidFill>
          </w14:textFill>
        </w:rPr>
        <w:t>‑</w:t>
      </w:r>
      <w:r>
        <w:rPr>
          <w:color w:val="000000" w:themeColor="text1"/>
          <w14:textFill>
            <w14:solidFill>
              <w14:schemeClr w14:val="tx1"/>
            </w14:solidFill>
          </w14:textFill>
        </w:rPr>
        <w:t xml:space="preserve">compliance with IFC Performance Standards, the ESMS or the EMPr. The </w:t>
      </w:r>
      <w:r>
        <w:rPr>
          <w:rFonts w:hint="eastAsia" w:eastAsia="宋体"/>
          <w:color w:val="000000" w:themeColor="text1"/>
          <w:lang w:val="en-US" w:eastAsia="zh-CN"/>
          <w14:textFill>
            <w14:solidFill>
              <w14:schemeClr w14:val="tx1"/>
            </w14:solidFill>
          </w14:textFill>
        </w:rPr>
        <w:t>Subc</w:t>
      </w:r>
      <w:r>
        <w:rPr>
          <w:color w:val="000000" w:themeColor="text1"/>
          <w14:textFill>
            <w14:solidFill>
              <w14:schemeClr w14:val="tx1"/>
            </w14:solidFill>
          </w14:textFill>
        </w:rPr>
        <w:t>ontractor shall provide all necessary access and information to the LTA for this purpose.</w:t>
      </w:r>
      <w:r>
        <w:t xml:space="preserve"> </w:t>
      </w:r>
    </w:p>
    <w:p>
      <w:pPr>
        <w:pStyle w:val="2"/>
        <w:keepNext/>
        <w:keepLines/>
        <w:pageBreakBefore w:val="0"/>
        <w:widowControl/>
        <w:kinsoku/>
        <w:wordWrap/>
        <w:overflowPunct/>
        <w:topLinePunct w:val="0"/>
        <w:autoSpaceDE/>
        <w:autoSpaceDN/>
        <w:bidi w:val="0"/>
        <w:adjustRightInd/>
        <w:snapToGrid/>
        <w:spacing w:before="0" w:beforeLines="50" w:after="0" w:afterLines="50" w:line="260" w:lineRule="auto"/>
        <w:ind w:left="-6" w:hanging="11"/>
        <w:textAlignment w:val="auto"/>
      </w:pPr>
      <w:r>
        <w:t xml:space="preserve">5. Additional requirements </w:t>
      </w:r>
    </w:p>
    <w:p>
      <w:pPr>
        <w:spacing w:after="0" w:line="259" w:lineRule="auto"/>
        <w:ind w:left="0" w:firstLine="0"/>
        <w:jc w:val="left"/>
      </w:pPr>
      <w:r>
        <w:t xml:space="preserve"> Additional standards to be considered when developing project HSE Management Strategies, Objectives and Management/Mitigation Programs are:  </w:t>
      </w:r>
    </w:p>
    <w:p>
      <w:pPr>
        <w:spacing w:after="0" w:line="259" w:lineRule="auto"/>
        <w:ind w:left="0" w:firstLine="0"/>
        <w:jc w:val="left"/>
      </w:pPr>
    </w:p>
    <w:p>
      <w:pPr>
        <w:spacing w:after="0" w:line="259" w:lineRule="auto"/>
        <w:ind w:left="0" w:firstLine="0"/>
        <w:jc w:val="left"/>
      </w:pPr>
      <w:r>
        <w:t xml:space="preserve"> “</w:t>
      </w:r>
      <w:r>
        <w:rPr>
          <w:b/>
        </w:rPr>
        <w:t>Environmental Standards</w:t>
      </w:r>
      <w:r>
        <w:t xml:space="preserve">” means each of those standards applicable in relation to the Company and/or Project under: </w:t>
      </w:r>
    </w:p>
    <w:p>
      <w:pPr>
        <w:spacing w:after="26" w:line="259" w:lineRule="auto"/>
        <w:ind w:left="0" w:firstLine="0"/>
        <w:jc w:val="left"/>
      </w:pPr>
      <w:r>
        <w:t xml:space="preserve"> </w:t>
      </w:r>
    </w:p>
    <w:p>
      <w:pPr>
        <w:numPr>
          <w:ilvl w:val="0"/>
          <w:numId w:val="7"/>
        </w:numPr>
        <w:ind w:hanging="360"/>
      </w:pPr>
      <w:r>
        <w:t xml:space="preserve">the World Bank Environmental Standards; </w:t>
      </w:r>
    </w:p>
    <w:p>
      <w:pPr>
        <w:numPr>
          <w:ilvl w:val="0"/>
          <w:numId w:val="7"/>
        </w:numPr>
        <w:ind w:hanging="360"/>
      </w:pPr>
      <w:r>
        <w:t xml:space="preserve">the IFC Performance Standards; </w:t>
      </w:r>
    </w:p>
    <w:p>
      <w:pPr>
        <w:numPr>
          <w:ilvl w:val="0"/>
          <w:numId w:val="7"/>
        </w:numPr>
        <w:ind w:hanging="360"/>
      </w:pPr>
      <w:r>
        <w:t xml:space="preserve">Environmental, Health and Safety Guidelines (effective April 2007);  </w:t>
      </w:r>
    </w:p>
    <w:p>
      <w:pPr>
        <w:numPr>
          <w:ilvl w:val="0"/>
          <w:numId w:val="7"/>
        </w:numPr>
        <w:ind w:hanging="360"/>
      </w:pPr>
      <w:r>
        <w:t xml:space="preserve">the Equator Principles;  </w:t>
      </w:r>
    </w:p>
    <w:p>
      <w:pPr>
        <w:numPr>
          <w:ilvl w:val="0"/>
          <w:numId w:val="7"/>
        </w:numPr>
        <w:ind w:hanging="360"/>
      </w:pPr>
      <w:r>
        <w:t>Environmental and Social Law and/or local regulation from any interested third party;</w:t>
      </w:r>
    </w:p>
    <w:p>
      <w:pPr>
        <w:numPr>
          <w:ilvl w:val="0"/>
          <w:numId w:val="7"/>
        </w:numPr>
        <w:ind w:hanging="360"/>
      </w:pPr>
      <w:r>
        <w:t xml:space="preserve">E&amp;S Action Plan; and </w:t>
      </w:r>
    </w:p>
    <w:p>
      <w:pPr>
        <w:numPr>
          <w:ilvl w:val="0"/>
          <w:numId w:val="7"/>
        </w:numPr>
        <w:ind w:hanging="360"/>
      </w:pPr>
      <w:r>
        <w:t xml:space="preserve">any international convention relating to the Environment to which </w:t>
      </w:r>
      <w:r>
        <w:rPr>
          <w:rFonts w:hint="eastAsia" w:eastAsia="宋体"/>
          <w:lang w:val="en-US" w:eastAsia="zh-CN"/>
        </w:rPr>
        <w:t>South Africa</w:t>
      </w:r>
      <w:r>
        <w:t xml:space="preserve"> is the signatory and which is applicable to the Company, the Project or the subject matter of, or any party (in relation to the Project) to, any of the Transaction Documents. </w:t>
      </w:r>
    </w:p>
    <w:p>
      <w:pPr>
        <w:spacing w:after="0" w:line="259" w:lineRule="auto"/>
        <w:ind w:left="0" w:firstLine="0"/>
        <w:jc w:val="left"/>
      </w:pPr>
      <w:r>
        <w:t xml:space="preserve"> </w:t>
      </w:r>
    </w:p>
    <w:p>
      <w:r>
        <w:rPr>
          <w:b/>
        </w:rPr>
        <w:t>“Equator Principles”</w:t>
      </w:r>
      <w:r>
        <w:t xml:space="preserve"> means the Principles promulgated on 4 June 2003 (as amended and modified, effective 6 July 2006 and on 4 June 2017) as available and available, as at the date of this Contract on https://equator-principles.com  and as may be amended and supplemented from time to time </w:t>
      </w:r>
    </w:p>
    <w:p>
      <w:pPr>
        <w:spacing w:after="1" w:line="259" w:lineRule="auto"/>
        <w:ind w:left="0" w:firstLine="0"/>
        <w:jc w:val="left"/>
      </w:pPr>
      <w:r>
        <w:t xml:space="preserve"> </w:t>
      </w:r>
    </w:p>
    <w:p>
      <w:pPr>
        <w:spacing w:after="1" w:line="259" w:lineRule="auto"/>
        <w:ind w:left="-5" w:right="-10"/>
      </w:pPr>
      <w:r>
        <w:t>“</w:t>
      </w:r>
      <w:r>
        <w:rPr>
          <w:b/>
        </w:rPr>
        <w:t>IFC Performance Standards</w:t>
      </w:r>
      <w:r>
        <w:t xml:space="preserve">” means the IFC's Performance Standards on Environmental and Social Sustainability, dated 1 January 2012. </w:t>
      </w:r>
    </w:p>
    <w:p>
      <w:pPr>
        <w:spacing w:after="1" w:line="259" w:lineRule="auto"/>
        <w:ind w:left="0" w:firstLine="0"/>
        <w:jc w:val="left"/>
      </w:pPr>
      <w:r>
        <w:t xml:space="preserve"> </w:t>
      </w:r>
    </w:p>
    <w:p>
      <w:r>
        <w:rPr>
          <w:b/>
        </w:rPr>
        <w:t>World Bank Environmental Standards</w:t>
      </w:r>
      <w:r>
        <w:t xml:space="preserve"> means the environmental standards, requirements and guidelines contained in the Policy on Environmental and Social Sustainability published by the International Finance Corporation and effective 1 January 2012.  </w:t>
      </w:r>
    </w:p>
    <w:p>
      <w:pPr>
        <w:pStyle w:val="2"/>
        <w:keepNext/>
        <w:keepLines/>
        <w:pageBreakBefore w:val="0"/>
        <w:widowControl/>
        <w:kinsoku/>
        <w:wordWrap/>
        <w:overflowPunct/>
        <w:topLinePunct w:val="0"/>
        <w:autoSpaceDE/>
        <w:autoSpaceDN/>
        <w:bidi w:val="0"/>
        <w:adjustRightInd/>
        <w:snapToGrid/>
        <w:spacing w:before="0" w:beforeLines="50" w:after="0" w:afterLines="50" w:line="260" w:lineRule="auto"/>
        <w:ind w:left="-6" w:hanging="11"/>
        <w:textAlignment w:val="auto"/>
      </w:pPr>
      <w:r>
        <w:t>6.</w:t>
      </w:r>
      <w:r>
        <w:rPr>
          <w:rFonts w:ascii="Arial" w:hAnsi="Arial" w:eastAsia="Arial" w:cs="Arial"/>
        </w:rPr>
        <w:t xml:space="preserve"> </w:t>
      </w:r>
      <w:r>
        <w:t xml:space="preserve">Audit requirements </w:t>
      </w:r>
    </w:p>
    <w:p>
      <w:pPr>
        <w:spacing w:after="0" w:line="259" w:lineRule="auto"/>
        <w:ind w:left="0" w:firstLine="0"/>
        <w:rPr>
          <w:rFonts w:hint="eastAsia"/>
        </w:rPr>
      </w:pPr>
      <w:r>
        <w:rPr>
          <w:rFonts w:hint="eastAsia" w:eastAsia="宋体"/>
          <w:lang w:val="en-US" w:eastAsia="zh-CN"/>
        </w:rPr>
        <w:t xml:space="preserve">1. </w:t>
      </w:r>
      <w:r>
        <w:rPr>
          <w:rFonts w:hint="eastAsia"/>
        </w:rPr>
        <w:t xml:space="preserve">Obligation to Cooperate Unconditionally: The Subcontractor acknowledges that the Works may be subject to audits by the Contractor, the </w:t>
      </w:r>
      <w:r>
        <w:rPr>
          <w:rFonts w:hint="eastAsia" w:eastAsia="宋体"/>
          <w:lang w:val="en-US" w:eastAsia="zh-CN"/>
        </w:rPr>
        <w:t>Owner</w:t>
      </w:r>
      <w:r>
        <w:rPr>
          <w:rFonts w:hint="eastAsia"/>
        </w:rPr>
        <w:t>, or relevant government agencies. The Subcontractor shall provide full, unconditional, and continuous cooperation, assistance, and access to all records, accounts, documents, and personnel as may be requested to facilitate such audits.</w:t>
      </w:r>
    </w:p>
    <w:p>
      <w:pPr>
        <w:spacing w:after="0" w:line="259" w:lineRule="auto"/>
        <w:ind w:left="0" w:firstLine="0"/>
        <w:rPr>
          <w:rFonts w:hint="eastAsia"/>
        </w:rPr>
      </w:pPr>
    </w:p>
    <w:p>
      <w:pPr>
        <w:numPr>
          <w:ilvl w:val="0"/>
          <w:numId w:val="8"/>
        </w:numPr>
        <w:spacing w:after="0" w:line="259" w:lineRule="auto"/>
        <w:ind w:left="0" w:firstLine="0"/>
        <w:rPr>
          <w:rFonts w:hint="eastAsia"/>
        </w:rPr>
      </w:pPr>
      <w:r>
        <w:rPr>
          <w:rFonts w:hint="eastAsia"/>
        </w:rPr>
        <w:t xml:space="preserve">Binding Effect of Third-Party Audits: The Subcontractor expressly agrees to be bound by the results of any audit conducted by the </w:t>
      </w:r>
      <w:r>
        <w:rPr>
          <w:rFonts w:hint="eastAsia" w:eastAsia="宋体"/>
          <w:lang w:val="en-US" w:eastAsia="zh-CN"/>
        </w:rPr>
        <w:t>Owner</w:t>
      </w:r>
      <w:r>
        <w:rPr>
          <w:rFonts w:hint="eastAsia"/>
        </w:rPr>
        <w:t xml:space="preserve"> or relevant government authorities. The Contractor shall have the right to adjust the Subcontractor’s payments or impose deductions based on such audit findings. The Subcontractor waives any right to challenge the validity of the Employer's or government's audit conclusions.</w:t>
      </w:r>
    </w:p>
    <w:p>
      <w:pPr>
        <w:spacing w:after="0" w:line="259" w:lineRule="auto"/>
        <w:ind w:left="0" w:firstLine="0"/>
        <w:rPr>
          <w:rFonts w:hint="eastAsia"/>
        </w:rPr>
      </w:pPr>
    </w:p>
    <w:p>
      <w:pPr>
        <w:numPr>
          <w:ilvl w:val="0"/>
          <w:numId w:val="8"/>
        </w:numPr>
        <w:spacing w:after="0" w:line="259" w:lineRule="auto"/>
        <w:ind w:left="0" w:leftChars="0" w:firstLine="0" w:firstLineChars="0"/>
      </w:pPr>
      <w:r>
        <w:rPr>
          <w:rFonts w:hint="eastAsia"/>
        </w:rPr>
        <w:t>Costs and Penalties: Any costs, fines, or disallowed amounts arising from the Subcontractor’s failure to comply with audit requirements or from inaccuracies in the Subcontractor’s records shall be solely borne by the Subcontractor. Failure to provide prompt cooperation shall constitute a material breach of this Subcontract.</w:t>
      </w:r>
      <w:r>
        <w:t xml:space="preserve"> </w:t>
      </w:r>
    </w:p>
    <w:sectPr>
      <w:headerReference r:id="rId7" w:type="first"/>
      <w:headerReference r:id="rId5" w:type="default"/>
      <w:headerReference r:id="rId6" w:type="even"/>
      <w:pgSz w:w="12240" w:h="15840"/>
      <w:pgMar w:top="1482" w:right="1164" w:bottom="1511" w:left="1440" w:header="762"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3" w:lineRule="auto"/>
      </w:pPr>
      <w:r>
        <w:separator/>
      </w:r>
    </w:p>
  </w:footnote>
  <w:footnote w:type="continuationSeparator" w:id="1">
    <w:p>
      <w:pPr>
        <w:spacing w:before="0" w:after="0" w:line="263"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ascii="Calibri" w:hAnsi="Calibri" w:eastAsia="Calibri" w:cs="Calibri"/>
        <w:sz w:val="22"/>
      </w:rPr>
      <mc:AlternateContent>
        <mc:Choice Requires="wpg">
          <w:drawing>
            <wp:anchor distT="0" distB="0" distL="114300" distR="114300" simplePos="0" relativeHeight="251661312" behindDoc="1" locked="0" layoutInCell="1" allowOverlap="1">
              <wp:simplePos x="0" y="0"/>
              <wp:positionH relativeFrom="page">
                <wp:posOffset>0</wp:posOffset>
              </wp:positionH>
              <wp:positionV relativeFrom="page">
                <wp:posOffset>0</wp:posOffset>
              </wp:positionV>
              <wp:extent cx="0" cy="0"/>
              <wp:effectExtent l="0" t="0" r="0" b="0"/>
              <wp:wrapNone/>
              <wp:docPr id="13022" name="Group 13022"/>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id="Group 13022" o:spid="_x0000_s1026" o:spt="203" style="position:absolute;left:0pt;margin-left:0pt;margin-top:0pt;height:0pt;width:0pt;mso-position-horizontal-relative:page;mso-position-vertical-relative:page;z-index:-251655168;mso-width-relative:page;mso-height-relative:page;" coordsize="1,1" o:gfxdata="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">
              <o:lock v:ext="edit" aspectratio="f"/>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6637"/>
      </w:tabs>
      <w:spacing w:after="0" w:line="259" w:lineRule="auto"/>
      <w:ind w:left="0" w:firstLine="0"/>
      <w:jc w:val="left"/>
    </w:pPr>
    <w:r>
      <w:rPr>
        <w:rFonts w:ascii="Calibri" w:hAnsi="Calibri" w:eastAsia="Calibri" w:cs="Calibri"/>
        <w:sz w:val="22"/>
      </w:rPr>
      <mc:AlternateContent>
        <mc:Choice Requires="wpg">
          <w:drawing>
            <wp:anchor distT="0" distB="0" distL="114300" distR="114300" simplePos="0" relativeHeight="251659264" behindDoc="0" locked="0" layoutInCell="1" allowOverlap="1">
              <wp:simplePos x="0" y="0"/>
              <wp:positionH relativeFrom="page">
                <wp:posOffset>895985</wp:posOffset>
              </wp:positionH>
              <wp:positionV relativeFrom="page">
                <wp:posOffset>618490</wp:posOffset>
              </wp:positionV>
              <wp:extent cx="6153150" cy="6350"/>
              <wp:effectExtent l="0" t="0" r="0" b="0"/>
              <wp:wrapSquare wrapText="bothSides"/>
              <wp:docPr id="13035" name="Group 13035"/>
              <wp:cNvGraphicFramePr/>
              <a:graphic xmlns:a="http://schemas.openxmlformats.org/drawingml/2006/main">
                <a:graphicData uri="http://schemas.microsoft.com/office/word/2010/wordprocessingGroup">
                  <wpg:wgp>
                    <wpg:cNvGrpSpPr/>
                    <wpg:grpSpPr>
                      <a:xfrm>
                        <a:off x="0" y="0"/>
                        <a:ext cx="6153277" cy="6096"/>
                        <a:chOff x="0" y="0"/>
                        <a:chExt cx="6153277" cy="6096"/>
                      </a:xfrm>
                    </wpg:grpSpPr>
                    <wps:wsp>
                      <wps:cNvPr id="13520" name="Shape 13520"/>
                      <wps:cNvSpPr/>
                      <wps:spPr>
                        <a:xfrm>
                          <a:off x="0" y="0"/>
                          <a:ext cx="6153277" cy="9144"/>
                        </a:xfrm>
                        <a:custGeom>
                          <a:avLst/>
                          <a:gdLst/>
                          <a:ahLst/>
                          <a:cxnLst/>
                          <a:rect l="0" t="0" r="0" b="0"/>
                          <a:pathLst>
                            <a:path w="6153277" h="9144">
                              <a:moveTo>
                                <a:pt x="0" y="0"/>
                              </a:moveTo>
                              <a:lnTo>
                                <a:pt x="6153277" y="0"/>
                              </a:lnTo>
                              <a:lnTo>
                                <a:pt x="6153277" y="9144"/>
                              </a:lnTo>
                              <a:lnTo>
                                <a:pt x="0" y="9144"/>
                              </a:lnTo>
                              <a:lnTo>
                                <a:pt x="0" y="0"/>
                              </a:lnTo>
                            </a:path>
                          </a:pathLst>
                        </a:custGeom>
                        <a:ln w="0" cap="flat">
                          <a:miter lim="127000"/>
                        </a:ln>
                      </wps:spPr>
                      <wps:style>
                        <a:lnRef idx="0">
                          <a:srgbClr val="000000">
                            <a:alpha val="0"/>
                          </a:srgbClr>
                        </a:lnRef>
                        <a:fillRef idx="1">
                          <a:srgbClr val="262626"/>
                        </a:fillRef>
                        <a:effectRef idx="0">
                          <a:scrgbClr r="0" g="0" b="0"/>
                        </a:effectRef>
                        <a:fontRef idx="none"/>
                      </wps:style>
                      <wps:bodyPr/>
                    </wps:wsp>
                  </wpg:wgp>
                </a:graphicData>
              </a:graphic>
            </wp:anchor>
          </w:drawing>
        </mc:Choice>
        <mc:Fallback>
          <w:pict>
            <v:group id="Group 13035" o:spid="_x0000_s1026" o:spt="203" style="position:absolute;left:0pt;margin-left:70.55pt;margin-top:48.7pt;height:0.5pt;width:484.5pt;mso-position-horizontal-relative:page;mso-position-vertical-relative:page;mso-wrap-distance-bottom:0pt;mso-wrap-distance-left:9pt;mso-wrap-distance-right:9pt;mso-wrap-distance-top:0pt;z-index:251659264;mso-width-relative:page;mso-height-relative:page;" coordsize="6153277,6096" o:gfxdata="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8PdyY2AAAAAoB&#10;AAAPAAAAAAAAAAEAIAAAACIAAABkcnMvZG93bnJldi54bWxQSwECFAAUAAAACACHTuJAy0/q5lQC&#10;AADiBQAADgAAAAAAAAABACAAAAAnAQAAZHJzL2Uyb0RvYy54bWxQSwUGAAAAAAYABgBZAQAA7QUA&#10;AAAA&#10;">
              <o:lock v:ext="edit" aspectratio="f"/>
              <v:shape id="Shape 13520" o:spid="_x0000_s1026" o:spt="100" style="position:absolute;left:0;top:0;height:9144;width:6153277;" fillcolor="#262626" filled="t" stroked="f" coordsize="6153277,9144" o:gfxdata="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0wWL2/&#10;AAAA3gAAAA8AAAAAAAAAAQAgAAAAIgAAAGRycy9kb3ducmV2LnhtbFBLAQIUABQAAAAIAIdO4kAz&#10;LwWeOwAAADkAAAAQAAAAAAAAAAEAIAAAAA4BAABkcnMvc2hhcGV4bWwueG1sUEsFBgAAAAAGAAYA&#10;WwEAALgDAAAAAA==&#10;" path="m0,0l6153277,0,6153277,9144,0,9144,0,0e">
                <v:fill on="t" focussize="0,0"/>
                <v:stroke on="f" weight="0pt" miterlimit="1" joinstyle="miter"/>
                <v:imagedata o:title=""/>
                <o:lock v:ext="edit" aspectratio="f"/>
              </v:shape>
              <w10:wrap type="square"/>
            </v:group>
          </w:pict>
        </mc:Fallback>
      </mc:AlternateContent>
    </w:r>
    <w:r>
      <w:rPr>
        <w:b/>
        <w:i/>
      </w:rPr>
      <w:t xml:space="preserve">App J Environmental Requirements </w:t>
    </w:r>
    <w:r>
      <w:rPr>
        <w:b/>
        <w:i/>
      </w:rPr>
      <w:tab/>
    </w:r>
    <w:r>
      <w:rPr>
        <w:b/>
        <w:i/>
      </w:rPr>
      <w:t xml:space="preserve">Al Shuaibah 1 PV and Al Shuaibah 2 PV Project in KSA </w:t>
    </w:r>
  </w:p>
  <w:p>
    <w:r>
      <w:rPr>
        <w:rFonts w:ascii="Calibri" w:hAnsi="Calibri" w:eastAsia="Calibri" w:cs="Calibri"/>
        <w:sz w:val="22"/>
      </w:rPr>
      <mc:AlternateContent>
        <mc:Choice Requires="wpg">
          <w:drawing>
            <wp:anchor distT="0" distB="0" distL="114300" distR="114300" simplePos="0" relativeHeight="251660288" behindDoc="1" locked="0" layoutInCell="1" allowOverlap="1">
              <wp:simplePos x="0" y="0"/>
              <wp:positionH relativeFrom="page">
                <wp:posOffset>0</wp:posOffset>
              </wp:positionH>
              <wp:positionV relativeFrom="page">
                <wp:posOffset>0</wp:posOffset>
              </wp:positionV>
              <wp:extent cx="0" cy="0"/>
              <wp:effectExtent l="0" t="0" r="0" b="0"/>
              <wp:wrapNone/>
              <wp:docPr id="13037" name="Group 1303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id="Group 13037" o:spid="_x0000_s1026" o:spt="203" style="position:absolute;left:0pt;margin-left:0pt;margin-top:0pt;height:0pt;width:0pt;mso-position-horizontal-relative:page;mso-position-vertical-relative:page;z-index:-251656192;mso-width-relative:page;mso-height-relative:page;" coordsize="1,1" o:gfxdata="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">
              <o:lock v:ext="edit" aspectratio="f"/>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9362"/>
      </w:tabs>
      <w:spacing w:after="0" w:line="259" w:lineRule="auto"/>
      <w:ind w:left="0" w:firstLine="0"/>
      <w:jc w:val="left"/>
    </w:pPr>
    <w:r>
      <w:rPr>
        <w:rFonts w:ascii="Calibri" w:hAnsi="Calibri" w:eastAsia="Calibri" w:cs="Calibri"/>
        <w:sz w:val="22"/>
      </w:rPr>
      <mc:AlternateContent>
        <mc:Choice Requires="wpg">
          <w:drawing>
            <wp:anchor distT="0" distB="0" distL="114300" distR="114300" simplePos="0" relativeHeight="251662336" behindDoc="0" locked="0" layoutInCell="1" allowOverlap="1">
              <wp:simplePos x="0" y="0"/>
              <wp:positionH relativeFrom="page">
                <wp:posOffset>895985</wp:posOffset>
              </wp:positionH>
              <wp:positionV relativeFrom="page">
                <wp:posOffset>618490</wp:posOffset>
              </wp:positionV>
              <wp:extent cx="6153150" cy="6350"/>
              <wp:effectExtent l="0" t="0" r="0" b="0"/>
              <wp:wrapSquare wrapText="bothSides"/>
              <wp:docPr id="13005" name="Group 13005"/>
              <wp:cNvGraphicFramePr/>
              <a:graphic xmlns:a="http://schemas.openxmlformats.org/drawingml/2006/main">
                <a:graphicData uri="http://schemas.microsoft.com/office/word/2010/wordprocessingGroup">
                  <wpg:wgp>
                    <wpg:cNvGrpSpPr/>
                    <wpg:grpSpPr>
                      <a:xfrm>
                        <a:off x="0" y="0"/>
                        <a:ext cx="6153277" cy="6096"/>
                        <a:chOff x="0" y="0"/>
                        <a:chExt cx="6153277" cy="6096"/>
                      </a:xfrm>
                    </wpg:grpSpPr>
                    <wps:wsp>
                      <wps:cNvPr id="13516" name="Shape 13516"/>
                      <wps:cNvSpPr/>
                      <wps:spPr>
                        <a:xfrm>
                          <a:off x="0" y="0"/>
                          <a:ext cx="6153277" cy="9144"/>
                        </a:xfrm>
                        <a:custGeom>
                          <a:avLst/>
                          <a:gdLst/>
                          <a:ahLst/>
                          <a:cxnLst/>
                          <a:rect l="0" t="0" r="0" b="0"/>
                          <a:pathLst>
                            <a:path w="6153277" h="9144">
                              <a:moveTo>
                                <a:pt x="0" y="0"/>
                              </a:moveTo>
                              <a:lnTo>
                                <a:pt x="6153277" y="0"/>
                              </a:lnTo>
                              <a:lnTo>
                                <a:pt x="6153277" y="9144"/>
                              </a:lnTo>
                              <a:lnTo>
                                <a:pt x="0" y="9144"/>
                              </a:lnTo>
                              <a:lnTo>
                                <a:pt x="0" y="0"/>
                              </a:lnTo>
                            </a:path>
                          </a:pathLst>
                        </a:custGeom>
                        <a:ln w="0" cap="flat">
                          <a:miter lim="127000"/>
                        </a:ln>
                      </wps:spPr>
                      <wps:style>
                        <a:lnRef idx="0">
                          <a:srgbClr val="000000">
                            <a:alpha val="0"/>
                          </a:srgbClr>
                        </a:lnRef>
                        <a:fillRef idx="1">
                          <a:srgbClr val="262626"/>
                        </a:fillRef>
                        <a:effectRef idx="0">
                          <a:scrgbClr r="0" g="0" b="0"/>
                        </a:effectRef>
                        <a:fontRef idx="none"/>
                      </wps:style>
                      <wps:bodyPr/>
                    </wps:wsp>
                  </wpg:wgp>
                </a:graphicData>
              </a:graphic>
            </wp:anchor>
          </w:drawing>
        </mc:Choice>
        <mc:Fallback>
          <w:pict>
            <v:group id="Group 13005" o:spid="_x0000_s1026" o:spt="203" style="position:absolute;left:0pt;margin-left:70.55pt;margin-top:48.7pt;height:0.5pt;width:484.5pt;mso-position-horizontal-relative:page;mso-position-vertical-relative:page;mso-wrap-distance-bottom:0pt;mso-wrap-distance-left:9pt;mso-wrap-distance-right:9pt;mso-wrap-distance-top:0pt;z-index:251662336;mso-width-relative:page;mso-height-relative:page;" coordsize="6153277,6096" o:gfxdata="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Hw93JjYAAAACgEA&#10;AA8AAAAAAAAAAQAgAAAAIgAAAGRycy9kb3ducmV2LnhtbFBLAQIUABQAAAAIAIdO4kBumO1DUwIA&#10;AOIFAAAOAAAAAAAAAAEAIAAAACcBAABkcnMvZTJvRG9jLnhtbFBLBQYAAAAABgAGAFkBAADsBQAA&#10;AAA=&#10;">
              <o:lock v:ext="edit" aspectratio="f"/>
              <v:shape id="Shape 13516" o:spid="_x0000_s1026" o:spt="100" style="position:absolute;left:0;top:0;height:9144;width:6153277;" fillcolor="#262626" filled="t" stroked="f" coordsize="6153277,9144" o:gfxdata="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mv77sAAADe&#10;AAAADwAAAAAAAAABACAAAAAiAAAAZHJzL2Rvd25yZXYueG1sUEsBAhQAFAAAAAgAh07iQDMvBZ47&#10;AAAAOQAAABAAAAAAAAAAAQAgAAAACgEAAGRycy9zaGFwZXhtbC54bWxQSwUGAAAAAAYABgBbAQAA&#10;tAMAAAAA&#10;" path="m0,0l6153277,0,6153277,9144,0,9144,0,0e">
                <v:fill on="t" focussize="0,0"/>
                <v:stroke on="f" weight="0pt" miterlimit="1" joinstyle="miter"/>
                <v:imagedata o:title=""/>
                <o:lock v:ext="edit" aspectratio="f"/>
              </v:shape>
              <w10:wrap type="square"/>
            </v:group>
          </w:pict>
        </mc:Fallback>
      </mc:AlternateContent>
    </w:r>
    <w:r>
      <w:rPr>
        <w:b/>
        <w:i/>
      </w:rPr>
      <w:t xml:space="preserve">App J Environmental Requirements </w:t>
    </w:r>
    <w:r>
      <w:rPr>
        <w:b/>
        <w:i/>
      </w:rPr>
      <w:tab/>
    </w:r>
    <w:r>
      <w:rPr>
        <w:b/>
        <w:i/>
      </w:rPr>
      <w:t xml:space="preserve"> </w:t>
    </w:r>
  </w:p>
  <w:p>
    <w:r>
      <w:rPr>
        <w:rFonts w:ascii="Calibri" w:hAnsi="Calibri" w:eastAsia="Calibri" w:cs="Calibri"/>
        <w:sz w:val="22"/>
      </w:rPr>
      <mc:AlternateContent>
        <mc:Choice Requires="wpg">
          <w:drawing>
            <wp:anchor distT="0" distB="0" distL="114300" distR="114300" simplePos="0" relativeHeight="251663360" behindDoc="1" locked="0" layoutInCell="1" allowOverlap="1">
              <wp:simplePos x="0" y="0"/>
              <wp:positionH relativeFrom="page">
                <wp:posOffset>0</wp:posOffset>
              </wp:positionH>
              <wp:positionV relativeFrom="page">
                <wp:posOffset>0</wp:posOffset>
              </wp:positionV>
              <wp:extent cx="0" cy="0"/>
              <wp:effectExtent l="0" t="0" r="0" b="0"/>
              <wp:wrapNone/>
              <wp:docPr id="13007" name="Group 1300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id="Group 13007" o:spid="_x0000_s1026" o:spt="203" style="position:absolute;left:0pt;margin-left:0pt;margin-top:0pt;height:0pt;width:0pt;mso-position-horizontal-relative:page;mso-position-vertical-relative:page;z-index:-251653120;mso-width-relative:page;mso-height-relative:page;" coordsize="1,1" o:gfxdata="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">
              <o:lock v:ext="edit" aspectratio="f"/>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59BB3"/>
    <w:multiLevelType w:val="singleLevel"/>
    <w:tmpl w:val="A3C59BB3"/>
    <w:lvl w:ilvl="0" w:tentative="0">
      <w:start w:val="2"/>
      <w:numFmt w:val="decimal"/>
      <w:suff w:val="space"/>
      <w:lvlText w:val="%1."/>
      <w:lvlJc w:val="left"/>
    </w:lvl>
  </w:abstractNum>
  <w:abstractNum w:abstractNumId="1">
    <w:nsid w:val="086D5C7A"/>
    <w:multiLevelType w:val="multilevel"/>
    <w:tmpl w:val="086D5C7A"/>
    <w:lvl w:ilvl="0" w:tentative="0">
      <w:start w:val="1"/>
      <w:numFmt w:val="lowerLetter"/>
      <w:lvlText w:val="%1)"/>
      <w:lvlJc w:val="left"/>
      <w:pPr>
        <w:ind w:left="502"/>
      </w:pPr>
      <w:rPr>
        <w:rFonts w:ascii="Verdana" w:hAnsi="Verdana" w:eastAsia="Verdana" w:cs="Verdana"/>
        <w:b w:val="0"/>
        <w:i w:val="0"/>
        <w:strike w:val="0"/>
        <w:dstrike w:val="0"/>
        <w:color w:val="000000"/>
        <w:sz w:val="18"/>
        <w:szCs w:val="18"/>
        <w:u w:val="none" w:color="000000"/>
        <w:shd w:val="clear" w:color="auto" w:fill="auto"/>
        <w:vertAlign w:val="baseline"/>
      </w:rPr>
    </w:lvl>
    <w:lvl w:ilvl="1" w:tentative="0">
      <w:start w:val="1"/>
      <w:numFmt w:val="lowerLetter"/>
      <w:lvlText w:val="%2"/>
      <w:lvlJc w:val="left"/>
      <w:pPr>
        <w:ind w:left="1222"/>
      </w:pPr>
      <w:rPr>
        <w:rFonts w:ascii="Verdana" w:hAnsi="Verdana" w:eastAsia="Verdana" w:cs="Verdana"/>
        <w:b w:val="0"/>
        <w:i w:val="0"/>
        <w:strike w:val="0"/>
        <w:dstrike w:val="0"/>
        <w:color w:val="000000"/>
        <w:sz w:val="18"/>
        <w:szCs w:val="18"/>
        <w:u w:val="none" w:color="000000"/>
        <w:shd w:val="clear" w:color="auto" w:fill="auto"/>
        <w:vertAlign w:val="baseline"/>
      </w:rPr>
    </w:lvl>
    <w:lvl w:ilvl="2" w:tentative="0">
      <w:start w:val="1"/>
      <w:numFmt w:val="lowerRoman"/>
      <w:lvlText w:val="%3"/>
      <w:lvlJc w:val="left"/>
      <w:pPr>
        <w:ind w:left="1942"/>
      </w:pPr>
      <w:rPr>
        <w:rFonts w:ascii="Verdana" w:hAnsi="Verdana" w:eastAsia="Verdana" w:cs="Verdana"/>
        <w:b w:val="0"/>
        <w:i w:val="0"/>
        <w:strike w:val="0"/>
        <w:dstrike w:val="0"/>
        <w:color w:val="000000"/>
        <w:sz w:val="18"/>
        <w:szCs w:val="18"/>
        <w:u w:val="none" w:color="000000"/>
        <w:shd w:val="clear" w:color="auto" w:fill="auto"/>
        <w:vertAlign w:val="baseline"/>
      </w:rPr>
    </w:lvl>
    <w:lvl w:ilvl="3" w:tentative="0">
      <w:start w:val="1"/>
      <w:numFmt w:val="decimal"/>
      <w:lvlText w:val="%4"/>
      <w:lvlJc w:val="left"/>
      <w:pPr>
        <w:ind w:left="2662"/>
      </w:pPr>
      <w:rPr>
        <w:rFonts w:ascii="Verdana" w:hAnsi="Verdana" w:eastAsia="Verdana" w:cs="Verdana"/>
        <w:b w:val="0"/>
        <w:i w:val="0"/>
        <w:strike w:val="0"/>
        <w:dstrike w:val="0"/>
        <w:color w:val="000000"/>
        <w:sz w:val="18"/>
        <w:szCs w:val="18"/>
        <w:u w:val="none" w:color="000000"/>
        <w:shd w:val="clear" w:color="auto" w:fill="auto"/>
        <w:vertAlign w:val="baseline"/>
      </w:rPr>
    </w:lvl>
    <w:lvl w:ilvl="4" w:tentative="0">
      <w:start w:val="1"/>
      <w:numFmt w:val="lowerLetter"/>
      <w:lvlText w:val="%5"/>
      <w:lvlJc w:val="left"/>
      <w:pPr>
        <w:ind w:left="3382"/>
      </w:pPr>
      <w:rPr>
        <w:rFonts w:ascii="Verdana" w:hAnsi="Verdana" w:eastAsia="Verdana" w:cs="Verdana"/>
        <w:b w:val="0"/>
        <w:i w:val="0"/>
        <w:strike w:val="0"/>
        <w:dstrike w:val="0"/>
        <w:color w:val="000000"/>
        <w:sz w:val="18"/>
        <w:szCs w:val="18"/>
        <w:u w:val="none" w:color="000000"/>
        <w:shd w:val="clear" w:color="auto" w:fill="auto"/>
        <w:vertAlign w:val="baseline"/>
      </w:rPr>
    </w:lvl>
    <w:lvl w:ilvl="5" w:tentative="0">
      <w:start w:val="1"/>
      <w:numFmt w:val="lowerRoman"/>
      <w:lvlText w:val="%6"/>
      <w:lvlJc w:val="left"/>
      <w:pPr>
        <w:ind w:left="4102"/>
      </w:pPr>
      <w:rPr>
        <w:rFonts w:ascii="Verdana" w:hAnsi="Verdana" w:eastAsia="Verdana" w:cs="Verdana"/>
        <w:b w:val="0"/>
        <w:i w:val="0"/>
        <w:strike w:val="0"/>
        <w:dstrike w:val="0"/>
        <w:color w:val="000000"/>
        <w:sz w:val="18"/>
        <w:szCs w:val="18"/>
        <w:u w:val="none" w:color="000000"/>
        <w:shd w:val="clear" w:color="auto" w:fill="auto"/>
        <w:vertAlign w:val="baseline"/>
      </w:rPr>
    </w:lvl>
    <w:lvl w:ilvl="6" w:tentative="0">
      <w:start w:val="1"/>
      <w:numFmt w:val="decimal"/>
      <w:lvlText w:val="%7"/>
      <w:lvlJc w:val="left"/>
      <w:pPr>
        <w:ind w:left="4822"/>
      </w:pPr>
      <w:rPr>
        <w:rFonts w:ascii="Verdana" w:hAnsi="Verdana" w:eastAsia="Verdana" w:cs="Verdana"/>
        <w:b w:val="0"/>
        <w:i w:val="0"/>
        <w:strike w:val="0"/>
        <w:dstrike w:val="0"/>
        <w:color w:val="000000"/>
        <w:sz w:val="18"/>
        <w:szCs w:val="18"/>
        <w:u w:val="none" w:color="000000"/>
        <w:shd w:val="clear" w:color="auto" w:fill="auto"/>
        <w:vertAlign w:val="baseline"/>
      </w:rPr>
    </w:lvl>
    <w:lvl w:ilvl="7" w:tentative="0">
      <w:start w:val="1"/>
      <w:numFmt w:val="lowerLetter"/>
      <w:lvlText w:val="%8"/>
      <w:lvlJc w:val="left"/>
      <w:pPr>
        <w:ind w:left="5542"/>
      </w:pPr>
      <w:rPr>
        <w:rFonts w:ascii="Verdana" w:hAnsi="Verdana" w:eastAsia="Verdana" w:cs="Verdana"/>
        <w:b w:val="0"/>
        <w:i w:val="0"/>
        <w:strike w:val="0"/>
        <w:dstrike w:val="0"/>
        <w:color w:val="000000"/>
        <w:sz w:val="18"/>
        <w:szCs w:val="18"/>
        <w:u w:val="none" w:color="000000"/>
        <w:shd w:val="clear" w:color="auto" w:fill="auto"/>
        <w:vertAlign w:val="baseline"/>
      </w:rPr>
    </w:lvl>
    <w:lvl w:ilvl="8" w:tentative="0">
      <w:start w:val="1"/>
      <w:numFmt w:val="lowerRoman"/>
      <w:lvlText w:val="%9"/>
      <w:lvlJc w:val="left"/>
      <w:pPr>
        <w:ind w:left="6262"/>
      </w:pPr>
      <w:rPr>
        <w:rFonts w:ascii="Verdana" w:hAnsi="Verdana" w:eastAsia="Verdana" w:cs="Verdana"/>
        <w:b w:val="0"/>
        <w:i w:val="0"/>
        <w:strike w:val="0"/>
        <w:dstrike w:val="0"/>
        <w:color w:val="000000"/>
        <w:sz w:val="18"/>
        <w:szCs w:val="18"/>
        <w:u w:val="none" w:color="000000"/>
        <w:shd w:val="clear" w:color="auto" w:fill="auto"/>
        <w:vertAlign w:val="baseline"/>
      </w:rPr>
    </w:lvl>
  </w:abstractNum>
  <w:abstractNum w:abstractNumId="2">
    <w:nsid w:val="0B06099E"/>
    <w:multiLevelType w:val="multilevel"/>
    <w:tmpl w:val="0B06099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67625D6"/>
    <w:multiLevelType w:val="multilevel"/>
    <w:tmpl w:val="267625D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69C5DCF"/>
    <w:multiLevelType w:val="multilevel"/>
    <w:tmpl w:val="269C5DC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589630E9"/>
    <w:multiLevelType w:val="multilevel"/>
    <w:tmpl w:val="589630E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6CE44314"/>
    <w:multiLevelType w:val="multilevel"/>
    <w:tmpl w:val="6CE44314"/>
    <w:lvl w:ilvl="0" w:tentative="0">
      <w:start w:val="1"/>
      <w:numFmt w:val="lowerLetter"/>
      <w:lvlText w:val="(%1)"/>
      <w:lvlJc w:val="left"/>
      <w:pPr>
        <w:ind w:left="755"/>
      </w:pPr>
      <w:rPr>
        <w:rFonts w:ascii="Verdana" w:hAnsi="Verdana" w:eastAsia="Verdana" w:cs="Verdana"/>
        <w:b w:val="0"/>
        <w:i w:val="0"/>
        <w:strike w:val="0"/>
        <w:dstrike w:val="0"/>
        <w:color w:val="000000"/>
        <w:sz w:val="18"/>
        <w:szCs w:val="18"/>
        <w:u w:val="none" w:color="000000"/>
        <w:shd w:val="clear" w:color="auto" w:fill="auto"/>
        <w:vertAlign w:val="baseline"/>
      </w:rPr>
    </w:lvl>
    <w:lvl w:ilvl="1" w:tentative="0">
      <w:start w:val="1"/>
      <w:numFmt w:val="lowerLetter"/>
      <w:lvlText w:val="%2"/>
      <w:lvlJc w:val="left"/>
      <w:pPr>
        <w:ind w:left="1390"/>
      </w:pPr>
      <w:rPr>
        <w:rFonts w:ascii="Verdana" w:hAnsi="Verdana" w:eastAsia="Verdana" w:cs="Verdana"/>
        <w:b w:val="0"/>
        <w:i w:val="0"/>
        <w:strike w:val="0"/>
        <w:dstrike w:val="0"/>
        <w:color w:val="000000"/>
        <w:sz w:val="18"/>
        <w:szCs w:val="18"/>
        <w:u w:val="none" w:color="000000"/>
        <w:shd w:val="clear" w:color="auto" w:fill="auto"/>
        <w:vertAlign w:val="baseline"/>
      </w:rPr>
    </w:lvl>
    <w:lvl w:ilvl="2" w:tentative="0">
      <w:start w:val="1"/>
      <w:numFmt w:val="lowerRoman"/>
      <w:lvlText w:val="%3"/>
      <w:lvlJc w:val="left"/>
      <w:pPr>
        <w:ind w:left="2110"/>
      </w:pPr>
      <w:rPr>
        <w:rFonts w:ascii="Verdana" w:hAnsi="Verdana" w:eastAsia="Verdana" w:cs="Verdana"/>
        <w:b w:val="0"/>
        <w:i w:val="0"/>
        <w:strike w:val="0"/>
        <w:dstrike w:val="0"/>
        <w:color w:val="000000"/>
        <w:sz w:val="18"/>
        <w:szCs w:val="18"/>
        <w:u w:val="none" w:color="000000"/>
        <w:shd w:val="clear" w:color="auto" w:fill="auto"/>
        <w:vertAlign w:val="baseline"/>
      </w:rPr>
    </w:lvl>
    <w:lvl w:ilvl="3" w:tentative="0">
      <w:start w:val="1"/>
      <w:numFmt w:val="decimal"/>
      <w:lvlText w:val="%4"/>
      <w:lvlJc w:val="left"/>
      <w:pPr>
        <w:ind w:left="2830"/>
      </w:pPr>
      <w:rPr>
        <w:rFonts w:ascii="Verdana" w:hAnsi="Verdana" w:eastAsia="Verdana" w:cs="Verdana"/>
        <w:b w:val="0"/>
        <w:i w:val="0"/>
        <w:strike w:val="0"/>
        <w:dstrike w:val="0"/>
        <w:color w:val="000000"/>
        <w:sz w:val="18"/>
        <w:szCs w:val="18"/>
        <w:u w:val="none" w:color="000000"/>
        <w:shd w:val="clear" w:color="auto" w:fill="auto"/>
        <w:vertAlign w:val="baseline"/>
      </w:rPr>
    </w:lvl>
    <w:lvl w:ilvl="4" w:tentative="0">
      <w:start w:val="1"/>
      <w:numFmt w:val="lowerLetter"/>
      <w:lvlText w:val="%5"/>
      <w:lvlJc w:val="left"/>
      <w:pPr>
        <w:ind w:left="3550"/>
      </w:pPr>
      <w:rPr>
        <w:rFonts w:ascii="Verdana" w:hAnsi="Verdana" w:eastAsia="Verdana" w:cs="Verdana"/>
        <w:b w:val="0"/>
        <w:i w:val="0"/>
        <w:strike w:val="0"/>
        <w:dstrike w:val="0"/>
        <w:color w:val="000000"/>
        <w:sz w:val="18"/>
        <w:szCs w:val="18"/>
        <w:u w:val="none" w:color="000000"/>
        <w:shd w:val="clear" w:color="auto" w:fill="auto"/>
        <w:vertAlign w:val="baseline"/>
      </w:rPr>
    </w:lvl>
    <w:lvl w:ilvl="5" w:tentative="0">
      <w:start w:val="1"/>
      <w:numFmt w:val="lowerRoman"/>
      <w:lvlText w:val="%6"/>
      <w:lvlJc w:val="left"/>
      <w:pPr>
        <w:ind w:left="4270"/>
      </w:pPr>
      <w:rPr>
        <w:rFonts w:ascii="Verdana" w:hAnsi="Verdana" w:eastAsia="Verdana" w:cs="Verdana"/>
        <w:b w:val="0"/>
        <w:i w:val="0"/>
        <w:strike w:val="0"/>
        <w:dstrike w:val="0"/>
        <w:color w:val="000000"/>
        <w:sz w:val="18"/>
        <w:szCs w:val="18"/>
        <w:u w:val="none" w:color="000000"/>
        <w:shd w:val="clear" w:color="auto" w:fill="auto"/>
        <w:vertAlign w:val="baseline"/>
      </w:rPr>
    </w:lvl>
    <w:lvl w:ilvl="6" w:tentative="0">
      <w:start w:val="1"/>
      <w:numFmt w:val="decimal"/>
      <w:lvlText w:val="%7"/>
      <w:lvlJc w:val="left"/>
      <w:pPr>
        <w:ind w:left="4990"/>
      </w:pPr>
      <w:rPr>
        <w:rFonts w:ascii="Verdana" w:hAnsi="Verdana" w:eastAsia="Verdana" w:cs="Verdana"/>
        <w:b w:val="0"/>
        <w:i w:val="0"/>
        <w:strike w:val="0"/>
        <w:dstrike w:val="0"/>
        <w:color w:val="000000"/>
        <w:sz w:val="18"/>
        <w:szCs w:val="18"/>
        <w:u w:val="none" w:color="000000"/>
        <w:shd w:val="clear" w:color="auto" w:fill="auto"/>
        <w:vertAlign w:val="baseline"/>
      </w:rPr>
    </w:lvl>
    <w:lvl w:ilvl="7" w:tentative="0">
      <w:start w:val="1"/>
      <w:numFmt w:val="lowerLetter"/>
      <w:lvlText w:val="%8"/>
      <w:lvlJc w:val="left"/>
      <w:pPr>
        <w:ind w:left="5710"/>
      </w:pPr>
      <w:rPr>
        <w:rFonts w:ascii="Verdana" w:hAnsi="Verdana" w:eastAsia="Verdana" w:cs="Verdana"/>
        <w:b w:val="0"/>
        <w:i w:val="0"/>
        <w:strike w:val="0"/>
        <w:dstrike w:val="0"/>
        <w:color w:val="000000"/>
        <w:sz w:val="18"/>
        <w:szCs w:val="18"/>
        <w:u w:val="none" w:color="000000"/>
        <w:shd w:val="clear" w:color="auto" w:fill="auto"/>
        <w:vertAlign w:val="baseline"/>
      </w:rPr>
    </w:lvl>
    <w:lvl w:ilvl="8" w:tentative="0">
      <w:start w:val="1"/>
      <w:numFmt w:val="lowerRoman"/>
      <w:lvlText w:val="%9"/>
      <w:lvlJc w:val="left"/>
      <w:pPr>
        <w:ind w:left="6430"/>
      </w:pPr>
      <w:rPr>
        <w:rFonts w:ascii="Verdana" w:hAnsi="Verdana" w:eastAsia="Verdana" w:cs="Verdana"/>
        <w:b w:val="0"/>
        <w:i w:val="0"/>
        <w:strike w:val="0"/>
        <w:dstrike w:val="0"/>
        <w:color w:val="000000"/>
        <w:sz w:val="18"/>
        <w:szCs w:val="18"/>
        <w:u w:val="none" w:color="000000"/>
        <w:shd w:val="clear" w:color="auto" w:fill="auto"/>
        <w:vertAlign w:val="baseline"/>
      </w:rPr>
    </w:lvl>
  </w:abstractNum>
  <w:abstractNum w:abstractNumId="7">
    <w:nsid w:val="7F095A14"/>
    <w:multiLevelType w:val="multilevel"/>
    <w:tmpl w:val="7F095A1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4"/>
  </w:num>
  <w:num w:numId="2">
    <w:abstractNumId w:val="7"/>
  </w:num>
  <w:num w:numId="3">
    <w:abstractNumId w:val="5"/>
  </w:num>
  <w:num w:numId="4">
    <w:abstractNumId w:val="2"/>
  </w:num>
  <w:num w:numId="5">
    <w:abstractNumId w:val="6"/>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AD"/>
    <w:rsid w:val="002937DB"/>
    <w:rsid w:val="004555D6"/>
    <w:rsid w:val="00530AB9"/>
    <w:rsid w:val="00573C37"/>
    <w:rsid w:val="00580036"/>
    <w:rsid w:val="007B4CD4"/>
    <w:rsid w:val="0081566F"/>
    <w:rsid w:val="00931974"/>
    <w:rsid w:val="009764E1"/>
    <w:rsid w:val="00A4095E"/>
    <w:rsid w:val="00C107CC"/>
    <w:rsid w:val="00CC0B57"/>
    <w:rsid w:val="00CE0141"/>
    <w:rsid w:val="00D41537"/>
    <w:rsid w:val="00D51625"/>
    <w:rsid w:val="00E65048"/>
    <w:rsid w:val="00E95AC2"/>
    <w:rsid w:val="00EA3E55"/>
    <w:rsid w:val="00ED6BAD"/>
    <w:rsid w:val="00FC56BF"/>
    <w:rsid w:val="02CB7F49"/>
    <w:rsid w:val="03634AC9"/>
    <w:rsid w:val="03A431C5"/>
    <w:rsid w:val="120E1C01"/>
    <w:rsid w:val="121B1678"/>
    <w:rsid w:val="1FD5349E"/>
    <w:rsid w:val="21E11534"/>
    <w:rsid w:val="295B177A"/>
    <w:rsid w:val="31EC70F5"/>
    <w:rsid w:val="3BE63CCF"/>
    <w:rsid w:val="46872E38"/>
    <w:rsid w:val="51EE6F75"/>
    <w:rsid w:val="59030A18"/>
    <w:rsid w:val="5CBA1D36"/>
    <w:rsid w:val="5EF03861"/>
    <w:rsid w:val="601E701C"/>
    <w:rsid w:val="632B7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 w:line="263" w:lineRule="auto"/>
      <w:ind w:left="10" w:hanging="10"/>
      <w:jc w:val="both"/>
    </w:pPr>
    <w:rPr>
      <w:rFonts w:ascii="Verdana" w:hAnsi="Verdana" w:eastAsia="Verdana" w:cs="Verdana"/>
      <w:color w:val="000000"/>
      <w:kern w:val="2"/>
      <w:sz w:val="18"/>
      <w:szCs w:val="24"/>
      <w:lang w:val="en-US" w:eastAsia="zh-CN" w:bidi="ar-SA"/>
      <w14:ligatures w14:val="standardContextual"/>
    </w:rPr>
  </w:style>
  <w:style w:type="paragraph" w:styleId="2">
    <w:name w:val="heading 1"/>
    <w:next w:val="1"/>
    <w:link w:val="7"/>
    <w:qFormat/>
    <w:uiPriority w:val="9"/>
    <w:pPr>
      <w:keepNext/>
      <w:keepLines/>
      <w:spacing w:after="3" w:line="259" w:lineRule="auto"/>
      <w:ind w:left="10" w:hanging="10"/>
      <w:outlineLvl w:val="0"/>
    </w:pPr>
    <w:rPr>
      <w:rFonts w:ascii="Verdana" w:hAnsi="Verdana" w:eastAsia="Verdana" w:cs="Verdana"/>
      <w:b/>
      <w:color w:val="000000"/>
      <w:kern w:val="2"/>
      <w:sz w:val="18"/>
      <w:szCs w:val="24"/>
      <w:lang w:val="en-US" w:eastAsia="zh-CN" w:bidi="ar-SA"/>
      <w14:ligatures w14:val="standardContextual"/>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spacing w:line="240" w:lineRule="auto"/>
      <w:jc w:val="left"/>
    </w:pPr>
    <w:rPr>
      <w:szCs w:val="18"/>
    </w:rPr>
  </w:style>
  <w:style w:type="table" w:styleId="5">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字符"/>
    <w:link w:val="2"/>
    <w:qFormat/>
    <w:uiPriority w:val="0"/>
    <w:rPr>
      <w:rFonts w:ascii="Verdana" w:hAnsi="Verdana" w:eastAsia="Verdana" w:cs="Verdana"/>
      <w:b/>
      <w:color w:val="000000"/>
      <w:sz w:val="18"/>
    </w:rPr>
  </w:style>
  <w:style w:type="table" w:customStyle="1" w:styleId="8">
    <w:name w:val="TableGrid"/>
    <w:qFormat/>
    <w:uiPriority w:val="0"/>
    <w:pPr>
      <w:spacing w:after="0" w:line="240" w:lineRule="auto"/>
    </w:pPr>
    <w:tblPr>
      <w:tblCellMar>
        <w:top w:w="0" w:type="dxa"/>
        <w:left w:w="0" w:type="dxa"/>
        <w:bottom w:w="0" w:type="dxa"/>
        <w:right w:w="0" w:type="dxa"/>
      </w:tblCellMar>
    </w:tblPr>
  </w:style>
  <w:style w:type="character" w:customStyle="1" w:styleId="9">
    <w:name w:val="页脚 字符"/>
    <w:basedOn w:val="6"/>
    <w:link w:val="3"/>
    <w:qFormat/>
    <w:uiPriority w:val="99"/>
    <w:rPr>
      <w:rFonts w:ascii="Verdana" w:hAnsi="Verdana" w:eastAsia="Verdana" w:cs="Verdana"/>
      <w:color w:val="000000"/>
      <w:sz w:val="18"/>
      <w:szCs w:val="18"/>
    </w:rPr>
  </w:style>
  <w:style w:type="paragraph" w:styleId="10">
    <w:name w:val="List Paragraph"/>
    <w:basedOn w:val="1"/>
    <w:qFormat/>
    <w:uiPriority w:val="34"/>
    <w:pPr>
      <w:ind w:firstLine="420" w:firstLineChars="200"/>
    </w:pPr>
  </w:style>
  <w:style w:type="paragraph" w:customStyle="1" w:styleId="11">
    <w:name w:val="Default"/>
    <w:qFormat/>
    <w:uiPriority w:val="0"/>
    <w:pPr>
      <w:widowControl w:val="0"/>
      <w:autoSpaceDE w:val="0"/>
      <w:autoSpaceDN w:val="0"/>
      <w:adjustRightInd w:val="0"/>
      <w:spacing w:after="0" w:line="240" w:lineRule="auto"/>
    </w:pPr>
    <w:rPr>
      <w:rFonts w:ascii="Calibri" w:hAnsi="Calibri" w:cs="Calibri" w:eastAsiaTheme="minorEastAsia"/>
      <w:color w:val="000000"/>
      <w:kern w:val="0"/>
      <w:sz w:val="24"/>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1423</Words>
  <Characters>8604</Characters>
  <Lines>111</Lines>
  <Paragraphs>31</Paragraphs>
  <TotalTime>2</TotalTime>
  <ScaleCrop>false</ScaleCrop>
  <LinksUpToDate>false</LinksUpToDate>
  <CharactersWithSpaces>10059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2026-05-04T12:55:00Z</dcterms:created>
  <dc:creator>Sarah Abdulsalam Bin Dekhail</dc:creator>
  <cp:lastModifiedBy>Louis Liu</cp:lastModifiedBy>
  <cp:lastPrinted>2026-05-04T13:35:00Z</cp:lastPrinted>
  <dcterms:modified xsi:type="dcterms:W3CDTF">2026-05-13T08:30:41Z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eyJoZGlkIjoiMDA5MzkzOTNmODliZjUxYTRlMzliZDJiMDU5OWFhODEiLCJ1c2VySWQiOiIyMzQ4Mjc2ODAifQ==</vt:lpwstr>
  </property>
  <property fmtid="{D5CDD505-2E9C-101B-9397-08002B2CF9AE}" pid="3" name="KSOProductBuildVer">
    <vt:lpwstr>2052-11.8.2.12085</vt:lpwstr>
  </property>
  <property fmtid="{D5CDD505-2E9C-101B-9397-08002B2CF9AE}" pid="4" name="ICV">
    <vt:lpwstr>372DDE56414E4B70A8DB8EE7B73C900C</vt:lpwstr>
  </property>
</Properties>
</file>